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0853" w14:textId="77777777" w:rsidR="00CF7C70" w:rsidRDefault="00A528A0">
      <w:pPr>
        <w:rPr>
          <w:b/>
          <w:bCs/>
        </w:rPr>
      </w:pPr>
      <w:r>
        <w:rPr>
          <w:b/>
          <w:bCs/>
        </w:rPr>
        <w:t>Může se Česko obejít bez uhelných elektráren skupin Sev.en Pavla Tykače? Nemůže!</w:t>
      </w:r>
    </w:p>
    <w:p w14:paraId="5D860854" w14:textId="77777777" w:rsidR="00CF7C70" w:rsidRDefault="00A528A0">
      <w:r>
        <w:t xml:space="preserve">Když se aktuálně dnes, 5. prosince, podíváme na energetický portál </w:t>
      </w:r>
      <w:proofErr w:type="spellStart"/>
      <w:r>
        <w:t>Electricity</w:t>
      </w:r>
      <w:proofErr w:type="spellEnd"/>
      <w:r>
        <w:t xml:space="preserve"> Map pracující s oficiálními daty dodanými správci sítě jednotlivých zemí, vidíme, že při zatížení sítě na úrovni kolem 10 GW se na výrobě z 49,13 % podílí uhelné elektrárny. Jejich současná kapacita 8,44 GW (to je na portále zastaralý údaj, uzavřením uhelné elektrárny Dětmarovice se celkový výkon snížil o dalších 600 MW na 7,8 GW) je vytížena z 68 % a elektřinu z uhlí vyrábějí elektrárny s instalovaným výkonem 5,73 GW. Je ale pravdou, že výkon 1,8 GW jede na export, a to klíčově do Rakouska. To díky české energii může také opět doplnit horní nádrže svých významných přečerpávacích elektráren (instalovaný výkon 9,2 GW). Aby se pak ve dne mohlo Rakousko chlubit, jak je energeticky zelené z OZE. To, že importují neustále elektřinu z nenáviděné uhlí a zcela zakázaného jádra z Česka, Rakušané pokrytecky zamlčují.    </w:t>
      </w:r>
    </w:p>
    <w:p w14:paraId="5D860855" w14:textId="77777777" w:rsidR="00CF7C70" w:rsidRDefault="00CF7C70"/>
    <w:p w14:paraId="5D860856" w14:textId="77777777" w:rsidR="00CF7C70" w:rsidRDefault="00A528A0">
      <w:r>
        <w:rPr>
          <w:noProof/>
        </w:rPr>
        <w:drawing>
          <wp:inline distT="0" distB="0" distL="0" distR="0" wp14:anchorId="5D860853" wp14:editId="5D860854">
            <wp:extent cx="4771284" cy="3781473"/>
            <wp:effectExtent l="0" t="0" r="0" b="9477"/>
            <wp:docPr id="1325759876"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71284" cy="3781473"/>
                    </a:xfrm>
                    <a:prstGeom prst="rect">
                      <a:avLst/>
                    </a:prstGeom>
                    <a:noFill/>
                    <a:ln>
                      <a:noFill/>
                      <a:prstDash/>
                    </a:ln>
                  </pic:spPr>
                </pic:pic>
              </a:graphicData>
            </a:graphic>
          </wp:inline>
        </w:drawing>
      </w:r>
    </w:p>
    <w:p w14:paraId="5D860857" w14:textId="77777777" w:rsidR="00CF7C70" w:rsidRDefault="00A528A0">
      <w:r>
        <w:t xml:space="preserve">Zdroj: </w:t>
      </w:r>
      <w:hyperlink r:id="rId7" w:history="1">
        <w:r>
          <w:rPr>
            <w:rStyle w:val="Hypertextovodkaz"/>
          </w:rPr>
          <w:t>https://app.electricitymaps.com/map/zone/CZ/live/fifteen_minutes</w:t>
        </w:r>
      </w:hyperlink>
    </w:p>
    <w:p w14:paraId="72C9AF00" w14:textId="77777777" w:rsidR="009F0A76" w:rsidRDefault="00A528A0">
      <w:r>
        <w:t xml:space="preserve">Pokud tedy dojde nejpozději k březnu 2027 skutečně k odstavení tří uhelných elektráren skupiny Sev.en Počerady (1000 MW), Chvaletic (820 MW) a Kladno (524 MW), jak oznámil 28. listopadu osobně Pavel Tykač s tím, že je na státu, aby posoudil jejich další potřebnost, zmizí stabilní kapacita 2,35 GW pro výrobu elektřiny. </w:t>
      </w:r>
      <w:r w:rsidR="009F0A76">
        <w:t>)</w:t>
      </w:r>
      <w:r w:rsidR="009F0A76" w:rsidRPr="00FA0CC8">
        <w:t>.</w:t>
      </w:r>
      <w:r w:rsidR="009F0A76">
        <w:t xml:space="preserve"> </w:t>
      </w:r>
      <w:proofErr w:type="spellStart"/>
      <w:r w:rsidR="009F0A76" w:rsidRPr="00FA0CC8">
        <w:t>Tykačovy</w:t>
      </w:r>
      <w:proofErr w:type="spellEnd"/>
      <w:r w:rsidR="009F0A76" w:rsidRPr="00FA0CC8">
        <w:t xml:space="preserve"> elektrárny nyní </w:t>
      </w:r>
      <w:r w:rsidR="009F0A76">
        <w:t xml:space="preserve">ročně </w:t>
      </w:r>
      <w:r w:rsidR="009F0A76" w:rsidRPr="00FA0CC8">
        <w:t>vyráb</w:t>
      </w:r>
      <w:r w:rsidR="009F0A76">
        <w:t xml:space="preserve">ějí kolem 13 </w:t>
      </w:r>
      <w:proofErr w:type="spellStart"/>
      <w:r w:rsidR="009F0A76">
        <w:t>TWh</w:t>
      </w:r>
      <w:proofErr w:type="spellEnd"/>
      <w:r w:rsidR="009F0A76">
        <w:t xml:space="preserve"> elektřiny, to je skoro 18 % bilance roku 2024 (73 </w:t>
      </w:r>
      <w:proofErr w:type="spellStart"/>
      <w:r w:rsidR="009F0A76">
        <w:t>TWh</w:t>
      </w:r>
      <w:proofErr w:type="spellEnd"/>
      <w:r w:rsidR="009F0A76">
        <w:t xml:space="preserve"> brutto). Majitel skupin Sev.en tak učinil včas předem, aby měl zákonem stanovený prostor k uzavření elektráren 11 měsíců předem. </w:t>
      </w:r>
    </w:p>
    <w:p w14:paraId="7B963AF6" w14:textId="4CCDEB7C" w:rsidR="009F0A76" w:rsidRDefault="009F0A76" w:rsidP="009F0A76">
      <w:r w:rsidRPr="001767DF">
        <w:t>"Je to komerční rozhodnutí a po komerční stránce je hotovo," řekl Tykač v</w:t>
      </w:r>
      <w:r>
        <w:t xml:space="preserve"> hodinovém a velmi pozoruhodném </w:t>
      </w:r>
      <w:hyperlink r:id="rId8" w:history="1">
        <w:r w:rsidRPr="0090271B">
          <w:rPr>
            <w:rStyle w:val="Hypertextovodkaz"/>
          </w:rPr>
          <w:t>podcastu Štěpení</w:t>
        </w:r>
      </w:hyperlink>
      <w:r w:rsidRPr="001767DF">
        <w:t> </w:t>
      </w:r>
      <w:r>
        <w:t>(</w:t>
      </w:r>
      <w:hyperlink r:id="rId9" w:history="1">
        <w:r w:rsidRPr="007652D4">
          <w:rPr>
            <w:rStyle w:val="Hypertextovodkaz"/>
          </w:rPr>
          <w:t>https://ceskepodcasty.cz/podcast/stepeni/pavel-tykac-uhli-v-cesku-konci-zavirame</w:t>
        </w:r>
      </w:hyperlink>
      <w:r>
        <w:t xml:space="preserve">) </w:t>
      </w:r>
      <w:r w:rsidRPr="001767DF">
        <w:t>k tomu, zda zavře své uhelné elektrárny. Jako důvod uvedl podnikatel cenu emisních povolenek.</w:t>
      </w:r>
      <w:r>
        <w:t xml:space="preserve"> </w:t>
      </w:r>
      <w:proofErr w:type="spellStart"/>
      <w:r w:rsidRPr="001767DF">
        <w:t>Tykačova</w:t>
      </w:r>
      <w:proofErr w:type="spellEnd"/>
      <w:r w:rsidRPr="001767DF">
        <w:t xml:space="preserve"> skupina </w:t>
      </w:r>
      <w:proofErr w:type="spellStart"/>
      <w:r w:rsidRPr="001767DF">
        <w:t>Sev.en</w:t>
      </w:r>
      <w:proofErr w:type="spellEnd"/>
      <w:r w:rsidRPr="001767DF">
        <w:t xml:space="preserve"> Česká energie, pod kterou jmenované uhelné elektrárny a těžba uhlí spadají, loni skončila v čisté ztrátě 2,1 miliardy korun. Z nákladů na výrobu jedné megawatthodiny tvoří povolenka většinu. Z aktuální ceny za výrobu 85 až 90 eur vychází cena </w:t>
      </w:r>
      <w:r w:rsidRPr="001767DF">
        <w:lastRenderedPageBreak/>
        <w:t xml:space="preserve">povolenky na 82 eur. Bez ní by elektřina byla za zlomek ceny. Samotné náklady na uhlí, zaměstnance a další věci podle Tykače tvoří v nákladech jen šest eur za </w:t>
      </w:r>
      <w:proofErr w:type="spellStart"/>
      <w:r w:rsidRPr="001767DF">
        <w:t>MWh</w:t>
      </w:r>
      <w:proofErr w:type="spellEnd"/>
      <w:r>
        <w:t xml:space="preserve">, tedy v přepočtu asi 15 haléřů za 1 kWh. V Česku je koncová cena pro spotřebitele včetně regulovaných složek a daní například v nejprodávanějším tarifu D02d až 14 korun, tedy zhruba 100krát vyšší cena elektřiny než čistě výrobní z uhlí. </w:t>
      </w:r>
    </w:p>
    <w:p w14:paraId="0C2F742E" w14:textId="77777777" w:rsidR="009F0A76" w:rsidRDefault="00A528A0">
      <w:r>
        <w:t xml:space="preserve">Bude-li v prosinci roku 2027 obdobná situace jako dnes, zbývající uhelná kapacita v režii společnosti ČEZ bude muset jet na 100 %, aby pokryla poptávku s tím, že nyní opravu žádná velká zima a mráz není. A zřejmě za to bude dostávat dotace, protože její ziskové marže také zničí emisní povolenky, tedy daně. S ohledem na očekávatelné poruchy, odstávky či nenadále situace má mít ale soustava alespoň 20% rezervu nad maximální zatížení. A to u uhlí už asi nebude a instalovanou jadernou kapacitu v těchto dnech ČEZ doslova vymačkává na 104 % (4,2 GW) instalovaného výkonu! </w:t>
      </w:r>
    </w:p>
    <w:p w14:paraId="5D860859" w14:textId="735B2F38" w:rsidR="00CF7C70" w:rsidRDefault="00A528A0">
      <w:r>
        <w:t>Produkce ze solárů je v prosincový předvečer rovná pochopitelně nule, ale nulová produkce pochází z českých větrných elektráren (0,37 GW). V Česku tedy panuje „</w:t>
      </w:r>
      <w:proofErr w:type="spellStart"/>
      <w:r>
        <w:t>Dunkelflaute</w:t>
      </w:r>
      <w:proofErr w:type="spellEnd"/>
      <w:r>
        <w:t>“, tedy z Německa převzatý pojem pro období temného bezvětří. A Německo počátkem prosince stejně jako koncem listopadu za „</w:t>
      </w:r>
      <w:proofErr w:type="spellStart"/>
      <w:r>
        <w:t>Dunkelflaute</w:t>
      </w:r>
      <w:proofErr w:type="spellEnd"/>
      <w:r>
        <w:t xml:space="preserve">“ silně využívá emisní zdroje z uhlí a plynu a nadto dováží 10 až 16 GW výkonu z okolních zemí, hlavně z jaderné Francie, Nizozemska, Dánska a Norska, ale i z Česka. </w:t>
      </w:r>
    </w:p>
    <w:p w14:paraId="5D86085A" w14:textId="77777777" w:rsidR="00CF7C70" w:rsidRDefault="00A528A0">
      <w:r>
        <w:t xml:space="preserve">Tvrzení, že bychom se mohli po překotném zániku uhelných zdrojů spolehnout až na třetinu spotřeby elektřiny z dovozu, jak to opatrně uváděla analýza zdrojové přiměřenosti MAF státní firmy ČEPS z října 2024, je tím postavena zcela na vodě. Letos se zřejmě nové analýzy MAF nedočkáme (raději se počká na novou vládu a její priority), zato musí ČEPS ale skutečně do 60 dnů rozhodnout, zda a jaké </w:t>
      </w:r>
      <w:proofErr w:type="spellStart"/>
      <w:r>
        <w:t>Tykačovy</w:t>
      </w:r>
      <w:proofErr w:type="spellEnd"/>
      <w:r>
        <w:t xml:space="preserve"> elektrárny soustava potřebuje.</w:t>
      </w:r>
    </w:p>
    <w:p w14:paraId="5D86085C" w14:textId="6ACCF012" w:rsidR="00CF7C70" w:rsidRDefault="00A528A0">
      <w:r>
        <w:t>Každop</w:t>
      </w:r>
      <w:r w:rsidR="003B48FB">
        <w:t>á</w:t>
      </w:r>
      <w:r>
        <w:t xml:space="preserve">dně se energetičtí experti shodují, že bez uhlí budeme čelit nedostatku 3-5 GW stabilního výkonu hlavně v zimním období s jasným důsledkem: uvalením tvrdé regulace na průmysl. To jeho svízelnou ekonomickou situaci ještě zhorší. A na postavení nové flotily elektráren na zemní plyn, které vyžaduje stejně jako v Německu 6 až 8 let, se nikdo nepohrne, pokud tyto rezervní zdroje nebudou mít zajištěné instalační a provozní dotace (kapacitní platby) a souhlas Bruselu. A bláboly o tom, jak nás spasí násobně větší kapacita solárních a větrných elektráren, je naprosto zdevalvována fakty a daty, které má státní Energetický regulační úřad (ERÚ).      </w:t>
      </w:r>
    </w:p>
    <w:p w14:paraId="13F77628" w14:textId="77777777" w:rsidR="009F0A76" w:rsidRPr="00FB5EF5" w:rsidRDefault="009F0A76" w:rsidP="009F0A76">
      <w:pPr>
        <w:rPr>
          <w:b/>
          <w:bCs/>
          <w:i/>
          <w:iCs/>
          <w:sz w:val="24"/>
          <w:szCs w:val="24"/>
        </w:rPr>
      </w:pPr>
      <w:r w:rsidRPr="00FB5EF5">
        <w:rPr>
          <w:b/>
          <w:bCs/>
          <w:i/>
          <w:iCs/>
          <w:sz w:val="24"/>
          <w:szCs w:val="24"/>
        </w:rPr>
        <w:t xml:space="preserve">V zimě kryjí uhelné zdroje bezmála polovinu výroby (netto) elektřiny v Česku </w:t>
      </w:r>
    </w:p>
    <w:p w14:paraId="177CA703" w14:textId="7ADC9803" w:rsidR="009F0A76" w:rsidRDefault="009F0A76" w:rsidP="009F0A76">
      <w:r>
        <w:t xml:space="preserve">Z domácích instalovaných zdrojů se zdá, že Česko i bez </w:t>
      </w:r>
      <w:proofErr w:type="spellStart"/>
      <w:r>
        <w:t>Tykačovy</w:t>
      </w:r>
      <w:proofErr w:type="spellEnd"/>
      <w:r>
        <w:t xml:space="preserve"> instalované kapacity v uhlí má Česko dostatek jiných energetických zdrojů k pokrytí potřeb elektroenergetiky. Čistě matematicky může 10 procent z bezmála 23 GW instalovaného výkonu zdánlivě bez problému odpadnout. </w:t>
      </w:r>
    </w:p>
    <w:p w14:paraId="3014220E" w14:textId="77777777" w:rsidR="009F0A76" w:rsidRDefault="009F0A76" w:rsidP="009F0A76">
      <w:pPr>
        <w:rPr>
          <w:b/>
          <w:bCs/>
          <w:sz w:val="24"/>
          <w:szCs w:val="24"/>
        </w:rPr>
      </w:pPr>
      <w:r>
        <w:t xml:space="preserve">Ovšem z hlediska reálné výroby v nejnáročnějších zimních měsících roku to vypadá zásadně jinak. </w:t>
      </w:r>
    </w:p>
    <w:p w14:paraId="0F6B4BE1" w14:textId="77777777" w:rsidR="009F0A76" w:rsidRPr="009A4AC1" w:rsidRDefault="009F0A76" w:rsidP="009F0A76">
      <w:pPr>
        <w:rPr>
          <w:b/>
          <w:bCs/>
        </w:rPr>
      </w:pPr>
      <w:r w:rsidRPr="009A4AC1">
        <w:rPr>
          <w:b/>
          <w:bCs/>
        </w:rPr>
        <w:t xml:space="preserve">ERÚ: Výroba elektřiny v ČR v roce 2025 (netto) </w:t>
      </w:r>
      <w:r w:rsidRPr="009A4AC1">
        <w:rPr>
          <w:b/>
          <w:bCs/>
          <w:color w:val="EE0000"/>
        </w:rPr>
        <w:t xml:space="preserve">leden až březen </w:t>
      </w:r>
      <w:r w:rsidRPr="009A4AC1">
        <w:rPr>
          <w:b/>
          <w:bCs/>
        </w:rPr>
        <w:t xml:space="preserve">dle zdrojů (v </w:t>
      </w:r>
      <w:proofErr w:type="spellStart"/>
      <w:r w:rsidRPr="009A4AC1">
        <w:rPr>
          <w:b/>
          <w:bCs/>
        </w:rPr>
        <w:t>GWh</w:t>
      </w:r>
      <w:proofErr w:type="spellEnd"/>
      <w:r w:rsidRPr="009A4AC1">
        <w:rPr>
          <w:b/>
          <w:bCs/>
        </w:rPr>
        <w:t>)</w:t>
      </w:r>
    </w:p>
    <w:tbl>
      <w:tblPr>
        <w:tblStyle w:val="Mkatabulky"/>
        <w:tblW w:w="0" w:type="auto"/>
        <w:tblLook w:val="04A0" w:firstRow="1" w:lastRow="0" w:firstColumn="1" w:lastColumn="0" w:noHBand="0" w:noVBand="1"/>
      </w:tblPr>
      <w:tblGrid>
        <w:gridCol w:w="1202"/>
        <w:gridCol w:w="1091"/>
        <w:gridCol w:w="1091"/>
        <w:gridCol w:w="1091"/>
        <w:gridCol w:w="1091"/>
        <w:gridCol w:w="1091"/>
        <w:gridCol w:w="1091"/>
      </w:tblGrid>
      <w:tr w:rsidR="009F0A76" w14:paraId="45C16C40" w14:textId="77777777" w:rsidTr="00DC715C">
        <w:trPr>
          <w:trHeight w:val="275"/>
        </w:trPr>
        <w:tc>
          <w:tcPr>
            <w:tcW w:w="1202" w:type="dxa"/>
          </w:tcPr>
          <w:p w14:paraId="224AB395" w14:textId="77777777" w:rsidR="009F0A76" w:rsidRPr="00AC4188" w:rsidRDefault="009F0A76" w:rsidP="00DC715C">
            <w:pPr>
              <w:rPr>
                <w:b/>
                <w:bCs/>
              </w:rPr>
            </w:pPr>
            <w:r w:rsidRPr="00AC4188">
              <w:rPr>
                <w:b/>
                <w:bCs/>
              </w:rPr>
              <w:t>Měsíc/rok</w:t>
            </w:r>
          </w:p>
        </w:tc>
        <w:tc>
          <w:tcPr>
            <w:tcW w:w="1091" w:type="dxa"/>
          </w:tcPr>
          <w:p w14:paraId="26D8217D" w14:textId="77777777" w:rsidR="009F0A76" w:rsidRPr="00AC4188" w:rsidRDefault="009F0A76" w:rsidP="00DC715C">
            <w:pPr>
              <w:rPr>
                <w:b/>
                <w:bCs/>
              </w:rPr>
            </w:pPr>
            <w:r w:rsidRPr="00AC4188">
              <w:rPr>
                <w:b/>
                <w:bCs/>
              </w:rPr>
              <w:t>Leden</w:t>
            </w:r>
          </w:p>
        </w:tc>
        <w:tc>
          <w:tcPr>
            <w:tcW w:w="1091" w:type="dxa"/>
          </w:tcPr>
          <w:p w14:paraId="4C898164" w14:textId="77777777" w:rsidR="009F0A76" w:rsidRPr="00AC4188" w:rsidRDefault="009F0A76" w:rsidP="00DC715C">
            <w:pPr>
              <w:rPr>
                <w:b/>
                <w:bCs/>
              </w:rPr>
            </w:pPr>
            <w:r w:rsidRPr="00AC4188">
              <w:rPr>
                <w:b/>
                <w:bCs/>
              </w:rPr>
              <w:t>Podíl v %</w:t>
            </w:r>
          </w:p>
        </w:tc>
        <w:tc>
          <w:tcPr>
            <w:tcW w:w="1091" w:type="dxa"/>
          </w:tcPr>
          <w:p w14:paraId="5235B005" w14:textId="77777777" w:rsidR="009F0A76" w:rsidRPr="00AC4188" w:rsidRDefault="009F0A76" w:rsidP="00DC715C">
            <w:pPr>
              <w:rPr>
                <w:b/>
                <w:bCs/>
              </w:rPr>
            </w:pPr>
            <w:r>
              <w:rPr>
                <w:b/>
                <w:bCs/>
              </w:rPr>
              <w:t>Ú</w:t>
            </w:r>
            <w:r w:rsidRPr="00AC4188">
              <w:rPr>
                <w:b/>
                <w:bCs/>
              </w:rPr>
              <w:t>nor</w:t>
            </w:r>
          </w:p>
        </w:tc>
        <w:tc>
          <w:tcPr>
            <w:tcW w:w="1091" w:type="dxa"/>
          </w:tcPr>
          <w:p w14:paraId="70AE8FB9" w14:textId="77777777" w:rsidR="009F0A76" w:rsidRPr="00AC4188" w:rsidRDefault="009F0A76" w:rsidP="00DC715C">
            <w:pPr>
              <w:rPr>
                <w:b/>
                <w:bCs/>
              </w:rPr>
            </w:pPr>
            <w:r w:rsidRPr="00AC4188">
              <w:rPr>
                <w:b/>
                <w:bCs/>
              </w:rPr>
              <w:t>Podíl v %</w:t>
            </w:r>
          </w:p>
        </w:tc>
        <w:tc>
          <w:tcPr>
            <w:tcW w:w="1091" w:type="dxa"/>
          </w:tcPr>
          <w:p w14:paraId="73CC993A" w14:textId="77777777" w:rsidR="009F0A76" w:rsidRPr="00AC4188" w:rsidRDefault="009F0A76" w:rsidP="00DC715C">
            <w:pPr>
              <w:rPr>
                <w:b/>
                <w:bCs/>
              </w:rPr>
            </w:pPr>
            <w:r>
              <w:rPr>
                <w:b/>
                <w:bCs/>
              </w:rPr>
              <w:t>B</w:t>
            </w:r>
            <w:r w:rsidRPr="00AC4188">
              <w:rPr>
                <w:b/>
                <w:bCs/>
              </w:rPr>
              <w:t>řezen</w:t>
            </w:r>
          </w:p>
        </w:tc>
        <w:tc>
          <w:tcPr>
            <w:tcW w:w="1091" w:type="dxa"/>
          </w:tcPr>
          <w:p w14:paraId="0B1F2B01" w14:textId="77777777" w:rsidR="009F0A76" w:rsidRPr="00AC4188" w:rsidRDefault="009F0A76" w:rsidP="00DC715C">
            <w:pPr>
              <w:rPr>
                <w:b/>
                <w:bCs/>
              </w:rPr>
            </w:pPr>
            <w:r w:rsidRPr="00AC4188">
              <w:rPr>
                <w:b/>
                <w:bCs/>
              </w:rPr>
              <w:t>Podíl v %</w:t>
            </w:r>
          </w:p>
        </w:tc>
      </w:tr>
      <w:tr w:rsidR="009F0A76" w14:paraId="19755D9B" w14:textId="77777777" w:rsidTr="00DC715C">
        <w:trPr>
          <w:trHeight w:val="284"/>
        </w:trPr>
        <w:tc>
          <w:tcPr>
            <w:tcW w:w="1202" w:type="dxa"/>
          </w:tcPr>
          <w:p w14:paraId="2862B781" w14:textId="77777777" w:rsidR="009F0A76" w:rsidRPr="005F78A6" w:rsidRDefault="009F0A76" w:rsidP="00DC715C">
            <w:pPr>
              <w:rPr>
                <w:rFonts w:cstheme="minorHAnsi"/>
                <w:b/>
                <w:bCs/>
                <w:sz w:val="18"/>
                <w:szCs w:val="18"/>
              </w:rPr>
            </w:pPr>
            <w:r w:rsidRPr="005F78A6">
              <w:rPr>
                <w:rFonts w:cstheme="minorHAnsi"/>
                <w:b/>
                <w:bCs/>
                <w:sz w:val="18"/>
                <w:szCs w:val="18"/>
              </w:rPr>
              <w:t>Celkem</w:t>
            </w:r>
          </w:p>
        </w:tc>
        <w:tc>
          <w:tcPr>
            <w:tcW w:w="1091" w:type="dxa"/>
          </w:tcPr>
          <w:p w14:paraId="6E26AB0C" w14:textId="77777777" w:rsidR="009F0A76" w:rsidRPr="005F78A6" w:rsidRDefault="009F0A76" w:rsidP="003B48FB">
            <w:pPr>
              <w:jc w:val="center"/>
              <w:rPr>
                <w:rFonts w:cstheme="minorHAnsi"/>
                <w:b/>
                <w:bCs/>
                <w:sz w:val="18"/>
                <w:szCs w:val="18"/>
              </w:rPr>
            </w:pPr>
            <w:r>
              <w:rPr>
                <w:rFonts w:ascii="Arial" w:hAnsi="Arial" w:cs="Arial"/>
                <w:b/>
                <w:bCs/>
                <w:sz w:val="18"/>
                <w:szCs w:val="18"/>
              </w:rPr>
              <w:t>7 146,6</w:t>
            </w:r>
          </w:p>
        </w:tc>
        <w:tc>
          <w:tcPr>
            <w:tcW w:w="1091" w:type="dxa"/>
          </w:tcPr>
          <w:p w14:paraId="5C7CEDBC" w14:textId="77777777" w:rsidR="009F0A76" w:rsidRPr="005F78A6" w:rsidRDefault="009F0A76" w:rsidP="003B48FB">
            <w:pPr>
              <w:jc w:val="center"/>
              <w:rPr>
                <w:rFonts w:cstheme="minorHAnsi"/>
                <w:b/>
                <w:bCs/>
                <w:sz w:val="18"/>
                <w:szCs w:val="18"/>
              </w:rPr>
            </w:pPr>
            <w:r w:rsidRPr="005F78A6">
              <w:rPr>
                <w:rFonts w:cstheme="minorHAnsi"/>
                <w:b/>
                <w:bCs/>
                <w:sz w:val="18"/>
                <w:szCs w:val="18"/>
              </w:rPr>
              <w:t>100</w:t>
            </w:r>
          </w:p>
        </w:tc>
        <w:tc>
          <w:tcPr>
            <w:tcW w:w="1091" w:type="dxa"/>
            <w:vAlign w:val="bottom"/>
          </w:tcPr>
          <w:p w14:paraId="3FB9213C" w14:textId="77777777" w:rsidR="009F0A76" w:rsidRPr="005F78A6" w:rsidRDefault="009F0A76" w:rsidP="003B48FB">
            <w:pPr>
              <w:jc w:val="center"/>
              <w:rPr>
                <w:rFonts w:cstheme="minorHAnsi"/>
                <w:b/>
                <w:bCs/>
                <w:sz w:val="18"/>
                <w:szCs w:val="18"/>
              </w:rPr>
            </w:pPr>
            <w:r>
              <w:rPr>
                <w:rFonts w:ascii="Arial" w:hAnsi="Arial" w:cs="Arial"/>
                <w:b/>
                <w:bCs/>
                <w:sz w:val="18"/>
                <w:szCs w:val="18"/>
              </w:rPr>
              <w:t>6 747,9</w:t>
            </w:r>
          </w:p>
        </w:tc>
        <w:tc>
          <w:tcPr>
            <w:tcW w:w="1091" w:type="dxa"/>
          </w:tcPr>
          <w:p w14:paraId="3C3CCFC4" w14:textId="09E998F1" w:rsidR="009F0A76" w:rsidRPr="005F78A6" w:rsidRDefault="009F0A76" w:rsidP="003B48FB">
            <w:pPr>
              <w:jc w:val="center"/>
              <w:rPr>
                <w:rFonts w:cstheme="minorHAnsi"/>
                <w:b/>
                <w:bCs/>
                <w:sz w:val="18"/>
                <w:szCs w:val="18"/>
              </w:rPr>
            </w:pPr>
            <w:r>
              <w:rPr>
                <w:rFonts w:cstheme="minorHAnsi"/>
                <w:b/>
                <w:bCs/>
                <w:sz w:val="18"/>
                <w:szCs w:val="18"/>
              </w:rPr>
              <w:t>100</w:t>
            </w:r>
          </w:p>
        </w:tc>
        <w:tc>
          <w:tcPr>
            <w:tcW w:w="1091" w:type="dxa"/>
            <w:vAlign w:val="bottom"/>
          </w:tcPr>
          <w:p w14:paraId="03FB6B4C" w14:textId="77777777" w:rsidR="009F0A76" w:rsidRPr="005F78A6" w:rsidRDefault="009F0A76" w:rsidP="003B48FB">
            <w:pPr>
              <w:jc w:val="center"/>
              <w:rPr>
                <w:rFonts w:cstheme="minorHAnsi"/>
                <w:b/>
                <w:bCs/>
                <w:sz w:val="18"/>
                <w:szCs w:val="18"/>
              </w:rPr>
            </w:pPr>
            <w:r>
              <w:rPr>
                <w:rFonts w:ascii="Arial" w:hAnsi="Arial" w:cs="Arial"/>
                <w:b/>
                <w:bCs/>
                <w:sz w:val="18"/>
                <w:szCs w:val="18"/>
              </w:rPr>
              <w:t>6 810,6</w:t>
            </w:r>
          </w:p>
        </w:tc>
        <w:tc>
          <w:tcPr>
            <w:tcW w:w="1091" w:type="dxa"/>
          </w:tcPr>
          <w:p w14:paraId="5F4FF4F6" w14:textId="77777777" w:rsidR="009F0A76" w:rsidRPr="005F78A6" w:rsidRDefault="009F0A76" w:rsidP="003B48FB">
            <w:pPr>
              <w:jc w:val="center"/>
              <w:rPr>
                <w:rFonts w:cstheme="minorHAnsi"/>
                <w:b/>
                <w:bCs/>
                <w:sz w:val="18"/>
                <w:szCs w:val="18"/>
              </w:rPr>
            </w:pPr>
            <w:r>
              <w:rPr>
                <w:rFonts w:cstheme="minorHAnsi"/>
                <w:b/>
                <w:bCs/>
                <w:sz w:val="18"/>
                <w:szCs w:val="18"/>
              </w:rPr>
              <w:t>100</w:t>
            </w:r>
          </w:p>
        </w:tc>
      </w:tr>
      <w:tr w:rsidR="009F0A76" w14:paraId="7E646611" w14:textId="77777777" w:rsidTr="00DC715C">
        <w:trPr>
          <w:trHeight w:val="275"/>
        </w:trPr>
        <w:tc>
          <w:tcPr>
            <w:tcW w:w="1202" w:type="dxa"/>
          </w:tcPr>
          <w:p w14:paraId="4694CDCA"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Jaderné (JE)</w:t>
            </w:r>
          </w:p>
        </w:tc>
        <w:tc>
          <w:tcPr>
            <w:tcW w:w="1091" w:type="dxa"/>
          </w:tcPr>
          <w:p w14:paraId="55A786FD" w14:textId="77777777" w:rsidR="009F0A76" w:rsidRPr="00AC4188" w:rsidRDefault="009F0A76" w:rsidP="003B48FB">
            <w:pPr>
              <w:jc w:val="center"/>
              <w:rPr>
                <w:rFonts w:cstheme="minorHAnsi"/>
                <w:sz w:val="18"/>
                <w:szCs w:val="18"/>
              </w:rPr>
            </w:pPr>
            <w:r>
              <w:rPr>
                <w:rFonts w:ascii="Arial" w:hAnsi="Arial" w:cs="Arial"/>
                <w:sz w:val="18"/>
                <w:szCs w:val="18"/>
              </w:rPr>
              <w:t>2 554,4</w:t>
            </w:r>
          </w:p>
        </w:tc>
        <w:tc>
          <w:tcPr>
            <w:tcW w:w="1091" w:type="dxa"/>
          </w:tcPr>
          <w:p w14:paraId="16F27220" w14:textId="619D03DB" w:rsidR="009F0A76" w:rsidRPr="009A4ED7" w:rsidRDefault="009F0A76" w:rsidP="003B48FB">
            <w:pPr>
              <w:jc w:val="center"/>
              <w:rPr>
                <w:rFonts w:cstheme="minorHAnsi"/>
                <w:color w:val="000000" w:themeColor="text1"/>
                <w:sz w:val="18"/>
                <w:szCs w:val="18"/>
              </w:rPr>
            </w:pPr>
            <w:r>
              <w:rPr>
                <w:rFonts w:cstheme="minorHAnsi"/>
                <w:color w:val="000000" w:themeColor="text1"/>
                <w:sz w:val="18"/>
                <w:szCs w:val="18"/>
              </w:rPr>
              <w:t>35,8</w:t>
            </w:r>
          </w:p>
        </w:tc>
        <w:tc>
          <w:tcPr>
            <w:tcW w:w="1091" w:type="dxa"/>
          </w:tcPr>
          <w:p w14:paraId="6E1103C6" w14:textId="77777777" w:rsidR="009F0A76" w:rsidRPr="00AC4188" w:rsidRDefault="009F0A76" w:rsidP="003B48FB">
            <w:pPr>
              <w:jc w:val="center"/>
              <w:rPr>
                <w:rFonts w:cstheme="minorHAnsi"/>
                <w:sz w:val="18"/>
                <w:szCs w:val="18"/>
              </w:rPr>
            </w:pPr>
            <w:r>
              <w:rPr>
                <w:rFonts w:ascii="Arial" w:hAnsi="Arial" w:cs="Arial"/>
                <w:sz w:val="18"/>
                <w:szCs w:val="18"/>
              </w:rPr>
              <w:t>2 367,4</w:t>
            </w:r>
          </w:p>
        </w:tc>
        <w:tc>
          <w:tcPr>
            <w:tcW w:w="1091" w:type="dxa"/>
          </w:tcPr>
          <w:p w14:paraId="1DCAAE14" w14:textId="5FA9CC23" w:rsidR="009F0A76" w:rsidRPr="00367434" w:rsidRDefault="009F0A76" w:rsidP="003B48FB">
            <w:pPr>
              <w:jc w:val="center"/>
              <w:rPr>
                <w:rFonts w:cstheme="minorHAnsi"/>
                <w:color w:val="EE0000"/>
                <w:sz w:val="18"/>
                <w:szCs w:val="18"/>
              </w:rPr>
            </w:pPr>
            <w:r w:rsidRPr="007A35F4">
              <w:rPr>
                <w:rFonts w:cstheme="minorHAnsi"/>
                <w:color w:val="000000" w:themeColor="text1"/>
                <w:sz w:val="18"/>
                <w:szCs w:val="18"/>
              </w:rPr>
              <w:t>35,1</w:t>
            </w:r>
          </w:p>
        </w:tc>
        <w:tc>
          <w:tcPr>
            <w:tcW w:w="1091" w:type="dxa"/>
          </w:tcPr>
          <w:p w14:paraId="03850585" w14:textId="77777777" w:rsidR="009F0A76" w:rsidRPr="00AC4188" w:rsidRDefault="009F0A76" w:rsidP="003B48FB">
            <w:pPr>
              <w:jc w:val="center"/>
              <w:rPr>
                <w:rFonts w:cstheme="minorHAnsi"/>
                <w:sz w:val="18"/>
                <w:szCs w:val="18"/>
              </w:rPr>
            </w:pPr>
            <w:r>
              <w:rPr>
                <w:rFonts w:ascii="Arial" w:hAnsi="Arial" w:cs="Arial"/>
                <w:sz w:val="18"/>
                <w:szCs w:val="18"/>
              </w:rPr>
              <w:t>2 605,7</w:t>
            </w:r>
          </w:p>
        </w:tc>
        <w:tc>
          <w:tcPr>
            <w:tcW w:w="1091" w:type="dxa"/>
          </w:tcPr>
          <w:p w14:paraId="21316109" w14:textId="100943EB" w:rsidR="009F0A76" w:rsidRPr="00367434" w:rsidRDefault="009F0A76" w:rsidP="003B48FB">
            <w:pPr>
              <w:jc w:val="center"/>
              <w:rPr>
                <w:rFonts w:cstheme="minorHAnsi"/>
                <w:color w:val="EE0000"/>
                <w:sz w:val="18"/>
                <w:szCs w:val="18"/>
              </w:rPr>
            </w:pPr>
            <w:r w:rsidRPr="007A35F4">
              <w:rPr>
                <w:rFonts w:cstheme="minorHAnsi"/>
                <w:color w:val="000000" w:themeColor="text1"/>
                <w:sz w:val="18"/>
                <w:szCs w:val="18"/>
              </w:rPr>
              <w:t>38,3</w:t>
            </w:r>
          </w:p>
        </w:tc>
      </w:tr>
      <w:tr w:rsidR="009F0A76" w14:paraId="7D9829CA" w14:textId="77777777" w:rsidTr="00DC715C">
        <w:trPr>
          <w:trHeight w:val="284"/>
        </w:trPr>
        <w:tc>
          <w:tcPr>
            <w:tcW w:w="1202" w:type="dxa"/>
          </w:tcPr>
          <w:p w14:paraId="6CAC852C"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Parní (PE)</w:t>
            </w:r>
            <w:r>
              <w:rPr>
                <w:rFonts w:eastAsia="Times New Roman" w:cstheme="minorHAnsi"/>
                <w:kern w:val="0"/>
                <w:sz w:val="18"/>
                <w:szCs w:val="18"/>
                <w:lang w:eastAsia="cs-CZ"/>
                <w14:ligatures w14:val="none"/>
              </w:rPr>
              <w:t>(*)</w:t>
            </w:r>
          </w:p>
        </w:tc>
        <w:tc>
          <w:tcPr>
            <w:tcW w:w="1091" w:type="dxa"/>
          </w:tcPr>
          <w:p w14:paraId="317DD183" w14:textId="77777777" w:rsidR="009F0A76" w:rsidRPr="00AC4188" w:rsidRDefault="009F0A76" w:rsidP="003B48FB">
            <w:pPr>
              <w:jc w:val="center"/>
              <w:rPr>
                <w:rFonts w:cstheme="minorHAnsi"/>
                <w:sz w:val="18"/>
                <w:szCs w:val="18"/>
              </w:rPr>
            </w:pPr>
            <w:r>
              <w:rPr>
                <w:rFonts w:ascii="Arial" w:hAnsi="Arial" w:cs="Arial"/>
                <w:sz w:val="18"/>
                <w:szCs w:val="18"/>
              </w:rPr>
              <w:t>3 482,2</w:t>
            </w:r>
          </w:p>
        </w:tc>
        <w:tc>
          <w:tcPr>
            <w:tcW w:w="1091" w:type="dxa"/>
          </w:tcPr>
          <w:p w14:paraId="42DB510D" w14:textId="4E7F42BF" w:rsidR="009F0A76" w:rsidRPr="00367434" w:rsidRDefault="009F0A76" w:rsidP="003B48FB">
            <w:pPr>
              <w:jc w:val="center"/>
              <w:rPr>
                <w:rFonts w:cstheme="minorHAnsi"/>
                <w:color w:val="EE0000"/>
                <w:sz w:val="18"/>
                <w:szCs w:val="18"/>
              </w:rPr>
            </w:pPr>
            <w:r w:rsidRPr="007A35F4">
              <w:rPr>
                <w:rFonts w:cstheme="minorHAnsi"/>
                <w:color w:val="00B0F0"/>
                <w:sz w:val="18"/>
                <w:szCs w:val="18"/>
              </w:rPr>
              <w:t>48,7</w:t>
            </w:r>
          </w:p>
        </w:tc>
        <w:tc>
          <w:tcPr>
            <w:tcW w:w="1091" w:type="dxa"/>
          </w:tcPr>
          <w:p w14:paraId="72C13DFB" w14:textId="77777777" w:rsidR="009F0A76" w:rsidRPr="00AC4188" w:rsidRDefault="009F0A76" w:rsidP="003B48FB">
            <w:pPr>
              <w:jc w:val="center"/>
              <w:rPr>
                <w:rFonts w:cstheme="minorHAnsi"/>
                <w:sz w:val="18"/>
                <w:szCs w:val="18"/>
              </w:rPr>
            </w:pPr>
            <w:r>
              <w:rPr>
                <w:rFonts w:ascii="Arial" w:hAnsi="Arial" w:cs="Arial"/>
                <w:sz w:val="18"/>
                <w:szCs w:val="18"/>
              </w:rPr>
              <w:t>3 271,0</w:t>
            </w:r>
          </w:p>
        </w:tc>
        <w:tc>
          <w:tcPr>
            <w:tcW w:w="1091" w:type="dxa"/>
          </w:tcPr>
          <w:p w14:paraId="7A73B35A" w14:textId="033071F5" w:rsidR="009F0A76" w:rsidRPr="00367434" w:rsidRDefault="009F0A76" w:rsidP="003B48FB">
            <w:pPr>
              <w:jc w:val="center"/>
              <w:rPr>
                <w:rFonts w:cstheme="minorHAnsi"/>
                <w:color w:val="EE0000"/>
                <w:sz w:val="18"/>
                <w:szCs w:val="18"/>
              </w:rPr>
            </w:pPr>
            <w:r w:rsidRPr="007A35F4">
              <w:rPr>
                <w:rFonts w:cstheme="minorHAnsi"/>
                <w:color w:val="00B0F0"/>
                <w:sz w:val="18"/>
                <w:szCs w:val="18"/>
              </w:rPr>
              <w:t>48,5</w:t>
            </w:r>
          </w:p>
        </w:tc>
        <w:tc>
          <w:tcPr>
            <w:tcW w:w="1091" w:type="dxa"/>
          </w:tcPr>
          <w:p w14:paraId="43B4768F" w14:textId="77777777" w:rsidR="009F0A76" w:rsidRPr="00AC4188" w:rsidRDefault="009F0A76" w:rsidP="003B48FB">
            <w:pPr>
              <w:jc w:val="center"/>
              <w:rPr>
                <w:rFonts w:cstheme="minorHAnsi"/>
                <w:sz w:val="18"/>
                <w:szCs w:val="18"/>
              </w:rPr>
            </w:pPr>
            <w:r>
              <w:rPr>
                <w:rFonts w:ascii="Arial" w:hAnsi="Arial" w:cs="Arial"/>
                <w:sz w:val="18"/>
                <w:szCs w:val="18"/>
              </w:rPr>
              <w:t>2 937,3</w:t>
            </w:r>
          </w:p>
        </w:tc>
        <w:tc>
          <w:tcPr>
            <w:tcW w:w="1091" w:type="dxa"/>
          </w:tcPr>
          <w:p w14:paraId="7D353751" w14:textId="74906BF0" w:rsidR="009F0A76" w:rsidRPr="007A35F4" w:rsidRDefault="009F0A76" w:rsidP="003B48FB">
            <w:pPr>
              <w:jc w:val="center"/>
              <w:rPr>
                <w:rFonts w:cstheme="minorHAnsi"/>
                <w:color w:val="000000" w:themeColor="text1"/>
                <w:sz w:val="18"/>
                <w:szCs w:val="18"/>
              </w:rPr>
            </w:pPr>
            <w:r w:rsidRPr="007A35F4">
              <w:rPr>
                <w:rFonts w:cstheme="minorHAnsi"/>
                <w:color w:val="00B0F0"/>
                <w:sz w:val="18"/>
                <w:szCs w:val="18"/>
              </w:rPr>
              <w:t>43,1</w:t>
            </w:r>
          </w:p>
        </w:tc>
      </w:tr>
      <w:tr w:rsidR="009F0A76" w14:paraId="1FEF0E73" w14:textId="77777777" w:rsidTr="00DC715C">
        <w:trPr>
          <w:trHeight w:val="403"/>
        </w:trPr>
        <w:tc>
          <w:tcPr>
            <w:tcW w:w="1202" w:type="dxa"/>
          </w:tcPr>
          <w:p w14:paraId="518824E4"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Paroplynové (PPE)</w:t>
            </w:r>
          </w:p>
        </w:tc>
        <w:tc>
          <w:tcPr>
            <w:tcW w:w="1091" w:type="dxa"/>
          </w:tcPr>
          <w:p w14:paraId="6EFC1811" w14:textId="77777777" w:rsidR="009F0A76" w:rsidRPr="00AC4188" w:rsidRDefault="009F0A76" w:rsidP="003B48FB">
            <w:pPr>
              <w:jc w:val="center"/>
              <w:rPr>
                <w:rFonts w:cstheme="minorHAnsi"/>
                <w:sz w:val="18"/>
                <w:szCs w:val="18"/>
              </w:rPr>
            </w:pPr>
            <w:r>
              <w:rPr>
                <w:rFonts w:ascii="Arial" w:hAnsi="Arial" w:cs="Arial"/>
                <w:sz w:val="18"/>
                <w:szCs w:val="18"/>
              </w:rPr>
              <w:t>274,6</w:t>
            </w:r>
          </w:p>
        </w:tc>
        <w:tc>
          <w:tcPr>
            <w:tcW w:w="1091" w:type="dxa"/>
          </w:tcPr>
          <w:p w14:paraId="58342AD4" w14:textId="6389CF46" w:rsidR="009F0A76" w:rsidRPr="009A4ED7" w:rsidRDefault="009F0A76" w:rsidP="003B48FB">
            <w:pPr>
              <w:jc w:val="center"/>
              <w:rPr>
                <w:rFonts w:cstheme="minorHAnsi"/>
                <w:color w:val="000000" w:themeColor="text1"/>
                <w:sz w:val="18"/>
                <w:szCs w:val="18"/>
              </w:rPr>
            </w:pPr>
            <w:r>
              <w:rPr>
                <w:rFonts w:cstheme="minorHAnsi"/>
                <w:color w:val="000000" w:themeColor="text1"/>
                <w:sz w:val="18"/>
                <w:szCs w:val="18"/>
              </w:rPr>
              <w:t>3,8</w:t>
            </w:r>
          </w:p>
        </w:tc>
        <w:tc>
          <w:tcPr>
            <w:tcW w:w="1091" w:type="dxa"/>
          </w:tcPr>
          <w:p w14:paraId="645BDB29" w14:textId="77777777" w:rsidR="009F0A76" w:rsidRPr="00AC4188" w:rsidRDefault="009F0A76" w:rsidP="003B48FB">
            <w:pPr>
              <w:jc w:val="center"/>
              <w:rPr>
                <w:rFonts w:cstheme="minorHAnsi"/>
                <w:sz w:val="18"/>
                <w:szCs w:val="18"/>
              </w:rPr>
            </w:pPr>
            <w:r>
              <w:rPr>
                <w:rFonts w:ascii="Arial" w:hAnsi="Arial" w:cs="Arial"/>
                <w:sz w:val="18"/>
                <w:szCs w:val="18"/>
              </w:rPr>
              <w:t>263,5</w:t>
            </w:r>
          </w:p>
        </w:tc>
        <w:tc>
          <w:tcPr>
            <w:tcW w:w="1091" w:type="dxa"/>
          </w:tcPr>
          <w:p w14:paraId="32F38D0F" w14:textId="38E18F5D"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3,9</w:t>
            </w:r>
          </w:p>
        </w:tc>
        <w:tc>
          <w:tcPr>
            <w:tcW w:w="1091" w:type="dxa"/>
          </w:tcPr>
          <w:p w14:paraId="44775822" w14:textId="77777777" w:rsidR="009F0A76" w:rsidRPr="00AC4188" w:rsidRDefault="009F0A76" w:rsidP="003B48FB">
            <w:pPr>
              <w:jc w:val="center"/>
              <w:rPr>
                <w:rFonts w:cstheme="minorHAnsi"/>
                <w:sz w:val="18"/>
                <w:szCs w:val="18"/>
              </w:rPr>
            </w:pPr>
            <w:r>
              <w:rPr>
                <w:rFonts w:ascii="Arial" w:hAnsi="Arial" w:cs="Arial"/>
                <w:sz w:val="18"/>
                <w:szCs w:val="18"/>
              </w:rPr>
              <w:t>231,4</w:t>
            </w:r>
          </w:p>
        </w:tc>
        <w:tc>
          <w:tcPr>
            <w:tcW w:w="1091" w:type="dxa"/>
          </w:tcPr>
          <w:p w14:paraId="317CE878" w14:textId="4045C1F2"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3,4</w:t>
            </w:r>
          </w:p>
        </w:tc>
      </w:tr>
      <w:tr w:rsidR="009F0A76" w14:paraId="684567AA" w14:textId="77777777" w:rsidTr="00DC715C">
        <w:trPr>
          <w:trHeight w:val="403"/>
        </w:trPr>
        <w:tc>
          <w:tcPr>
            <w:tcW w:w="1202" w:type="dxa"/>
          </w:tcPr>
          <w:p w14:paraId="310A16DD"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Plynové a spalovací (PSE)</w:t>
            </w:r>
          </w:p>
        </w:tc>
        <w:tc>
          <w:tcPr>
            <w:tcW w:w="1091" w:type="dxa"/>
          </w:tcPr>
          <w:p w14:paraId="6B1BE1E4" w14:textId="77777777" w:rsidR="009F0A76" w:rsidRPr="00AC4188" w:rsidRDefault="009F0A76" w:rsidP="003B48FB">
            <w:pPr>
              <w:jc w:val="center"/>
              <w:rPr>
                <w:rFonts w:cstheme="minorHAnsi"/>
                <w:sz w:val="18"/>
                <w:szCs w:val="18"/>
              </w:rPr>
            </w:pPr>
            <w:r>
              <w:rPr>
                <w:rFonts w:ascii="Arial" w:hAnsi="Arial" w:cs="Arial"/>
                <w:sz w:val="18"/>
                <w:szCs w:val="18"/>
              </w:rPr>
              <w:t>367,7</w:t>
            </w:r>
          </w:p>
        </w:tc>
        <w:tc>
          <w:tcPr>
            <w:tcW w:w="1091" w:type="dxa"/>
          </w:tcPr>
          <w:p w14:paraId="27B5DE37" w14:textId="4F2E2E9D" w:rsidR="009F0A76" w:rsidRPr="009A4ED7" w:rsidRDefault="009F0A76" w:rsidP="003B48FB">
            <w:pPr>
              <w:jc w:val="center"/>
              <w:rPr>
                <w:rFonts w:cstheme="minorHAnsi"/>
                <w:color w:val="000000" w:themeColor="text1"/>
                <w:sz w:val="18"/>
                <w:szCs w:val="18"/>
              </w:rPr>
            </w:pPr>
            <w:r>
              <w:rPr>
                <w:rFonts w:cstheme="minorHAnsi"/>
                <w:color w:val="000000" w:themeColor="text1"/>
                <w:sz w:val="18"/>
                <w:szCs w:val="18"/>
              </w:rPr>
              <w:t>5,2</w:t>
            </w:r>
          </w:p>
        </w:tc>
        <w:tc>
          <w:tcPr>
            <w:tcW w:w="1091" w:type="dxa"/>
          </w:tcPr>
          <w:p w14:paraId="071ABD86" w14:textId="77777777" w:rsidR="009F0A76" w:rsidRPr="00AC4188" w:rsidRDefault="009F0A76" w:rsidP="003B48FB">
            <w:pPr>
              <w:jc w:val="center"/>
              <w:rPr>
                <w:rFonts w:cstheme="minorHAnsi"/>
                <w:sz w:val="18"/>
                <w:szCs w:val="18"/>
              </w:rPr>
            </w:pPr>
            <w:r>
              <w:rPr>
                <w:rFonts w:ascii="Arial" w:hAnsi="Arial" w:cs="Arial"/>
                <w:sz w:val="18"/>
                <w:szCs w:val="18"/>
              </w:rPr>
              <w:t>336,2</w:t>
            </w:r>
          </w:p>
        </w:tc>
        <w:tc>
          <w:tcPr>
            <w:tcW w:w="1091" w:type="dxa"/>
          </w:tcPr>
          <w:p w14:paraId="27E5737B" w14:textId="39BF24BD"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5,0</w:t>
            </w:r>
          </w:p>
        </w:tc>
        <w:tc>
          <w:tcPr>
            <w:tcW w:w="1091" w:type="dxa"/>
          </w:tcPr>
          <w:p w14:paraId="288BF932" w14:textId="77777777" w:rsidR="009F0A76" w:rsidRPr="00AC4188" w:rsidRDefault="009F0A76" w:rsidP="003B48FB">
            <w:pPr>
              <w:jc w:val="center"/>
              <w:rPr>
                <w:rFonts w:cstheme="minorHAnsi"/>
                <w:sz w:val="18"/>
                <w:szCs w:val="18"/>
              </w:rPr>
            </w:pPr>
            <w:r>
              <w:rPr>
                <w:rFonts w:ascii="Arial" w:hAnsi="Arial" w:cs="Arial"/>
                <w:sz w:val="18"/>
                <w:szCs w:val="18"/>
              </w:rPr>
              <w:t>341,6</w:t>
            </w:r>
          </w:p>
        </w:tc>
        <w:tc>
          <w:tcPr>
            <w:tcW w:w="1091" w:type="dxa"/>
          </w:tcPr>
          <w:p w14:paraId="1CE3BFE5" w14:textId="74F1291E"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5,0</w:t>
            </w:r>
          </w:p>
        </w:tc>
      </w:tr>
      <w:tr w:rsidR="009F0A76" w14:paraId="52540B2E" w14:textId="77777777" w:rsidTr="00DC715C">
        <w:trPr>
          <w:trHeight w:val="284"/>
        </w:trPr>
        <w:tc>
          <w:tcPr>
            <w:tcW w:w="1202" w:type="dxa"/>
          </w:tcPr>
          <w:p w14:paraId="49A6DCCB"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Vodní (VE)</w:t>
            </w:r>
          </w:p>
        </w:tc>
        <w:tc>
          <w:tcPr>
            <w:tcW w:w="1091" w:type="dxa"/>
          </w:tcPr>
          <w:p w14:paraId="21713123" w14:textId="77777777" w:rsidR="009F0A76" w:rsidRPr="00AC4188" w:rsidRDefault="009F0A76" w:rsidP="003B48FB">
            <w:pPr>
              <w:jc w:val="center"/>
              <w:rPr>
                <w:rFonts w:cstheme="minorHAnsi"/>
                <w:sz w:val="18"/>
                <w:szCs w:val="18"/>
              </w:rPr>
            </w:pPr>
            <w:r>
              <w:rPr>
                <w:rFonts w:ascii="Arial" w:hAnsi="Arial" w:cs="Arial"/>
                <w:sz w:val="18"/>
                <w:szCs w:val="18"/>
              </w:rPr>
              <w:t>200,9</w:t>
            </w:r>
          </w:p>
        </w:tc>
        <w:tc>
          <w:tcPr>
            <w:tcW w:w="1091" w:type="dxa"/>
          </w:tcPr>
          <w:p w14:paraId="0E76D9F1" w14:textId="62C36885" w:rsidR="009F0A76" w:rsidRPr="009A4ED7" w:rsidRDefault="009F0A76" w:rsidP="003B48FB">
            <w:pPr>
              <w:jc w:val="center"/>
              <w:rPr>
                <w:rFonts w:cstheme="minorHAnsi"/>
                <w:color w:val="000000" w:themeColor="text1"/>
                <w:sz w:val="18"/>
                <w:szCs w:val="18"/>
              </w:rPr>
            </w:pPr>
            <w:r>
              <w:rPr>
                <w:rFonts w:cstheme="minorHAnsi"/>
                <w:color w:val="000000" w:themeColor="text1"/>
                <w:sz w:val="18"/>
                <w:szCs w:val="18"/>
              </w:rPr>
              <w:t>2,8</w:t>
            </w:r>
          </w:p>
        </w:tc>
        <w:tc>
          <w:tcPr>
            <w:tcW w:w="1091" w:type="dxa"/>
          </w:tcPr>
          <w:p w14:paraId="0093BE4F" w14:textId="77777777" w:rsidR="009F0A76" w:rsidRPr="00AC4188" w:rsidRDefault="009F0A76" w:rsidP="003B48FB">
            <w:pPr>
              <w:jc w:val="center"/>
              <w:rPr>
                <w:rFonts w:cstheme="minorHAnsi"/>
                <w:sz w:val="18"/>
                <w:szCs w:val="18"/>
              </w:rPr>
            </w:pPr>
            <w:r>
              <w:rPr>
                <w:rFonts w:ascii="Arial" w:hAnsi="Arial" w:cs="Arial"/>
                <w:sz w:val="18"/>
                <w:szCs w:val="18"/>
              </w:rPr>
              <w:t>155,9</w:t>
            </w:r>
          </w:p>
        </w:tc>
        <w:tc>
          <w:tcPr>
            <w:tcW w:w="1091" w:type="dxa"/>
          </w:tcPr>
          <w:p w14:paraId="3EF88250" w14:textId="7D8DA3A2"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2,3</w:t>
            </w:r>
          </w:p>
        </w:tc>
        <w:tc>
          <w:tcPr>
            <w:tcW w:w="1091" w:type="dxa"/>
          </w:tcPr>
          <w:p w14:paraId="5EAC17F2" w14:textId="77777777" w:rsidR="009F0A76" w:rsidRPr="00AC4188" w:rsidRDefault="009F0A76" w:rsidP="003B48FB">
            <w:pPr>
              <w:jc w:val="center"/>
              <w:rPr>
                <w:rFonts w:cstheme="minorHAnsi"/>
                <w:sz w:val="18"/>
                <w:szCs w:val="18"/>
              </w:rPr>
            </w:pPr>
            <w:r>
              <w:rPr>
                <w:rFonts w:ascii="Arial" w:hAnsi="Arial" w:cs="Arial"/>
                <w:sz w:val="18"/>
                <w:szCs w:val="18"/>
              </w:rPr>
              <w:t>156,8</w:t>
            </w:r>
          </w:p>
        </w:tc>
        <w:tc>
          <w:tcPr>
            <w:tcW w:w="1091" w:type="dxa"/>
          </w:tcPr>
          <w:p w14:paraId="0B1F7EE7" w14:textId="3DCB7E94" w:rsidR="009F0A76" w:rsidRPr="007A35F4" w:rsidRDefault="009F0A76" w:rsidP="003B48FB">
            <w:pPr>
              <w:jc w:val="center"/>
              <w:rPr>
                <w:rFonts w:cstheme="minorHAnsi"/>
                <w:color w:val="000000" w:themeColor="text1"/>
                <w:sz w:val="18"/>
                <w:szCs w:val="18"/>
              </w:rPr>
            </w:pPr>
            <w:r>
              <w:rPr>
                <w:rFonts w:cstheme="minorHAnsi"/>
                <w:color w:val="000000" w:themeColor="text1"/>
                <w:sz w:val="18"/>
                <w:szCs w:val="18"/>
              </w:rPr>
              <w:t>2,3</w:t>
            </w:r>
          </w:p>
        </w:tc>
      </w:tr>
      <w:tr w:rsidR="009F0A76" w14:paraId="136DE7B7" w14:textId="77777777" w:rsidTr="00DC715C">
        <w:trPr>
          <w:trHeight w:val="403"/>
        </w:trPr>
        <w:tc>
          <w:tcPr>
            <w:tcW w:w="1202" w:type="dxa"/>
          </w:tcPr>
          <w:p w14:paraId="7D3DC471"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Přečerpávací (PVE)</w:t>
            </w:r>
          </w:p>
        </w:tc>
        <w:tc>
          <w:tcPr>
            <w:tcW w:w="1091" w:type="dxa"/>
          </w:tcPr>
          <w:p w14:paraId="45A60FFF" w14:textId="77777777" w:rsidR="009F0A76" w:rsidRPr="00AC4188" w:rsidRDefault="009F0A76" w:rsidP="00DC715C">
            <w:pPr>
              <w:rPr>
                <w:rFonts w:cstheme="minorHAnsi"/>
                <w:sz w:val="18"/>
                <w:szCs w:val="18"/>
              </w:rPr>
            </w:pPr>
            <w:r>
              <w:rPr>
                <w:rFonts w:ascii="Arial" w:hAnsi="Arial" w:cs="Arial"/>
                <w:sz w:val="18"/>
                <w:szCs w:val="18"/>
              </w:rPr>
              <w:t>83,5</w:t>
            </w:r>
          </w:p>
        </w:tc>
        <w:tc>
          <w:tcPr>
            <w:tcW w:w="1091" w:type="dxa"/>
          </w:tcPr>
          <w:p w14:paraId="0EC087AD" w14:textId="77777777" w:rsidR="009F0A76" w:rsidRPr="009A4ED7" w:rsidRDefault="009F0A76" w:rsidP="00DC715C">
            <w:pPr>
              <w:rPr>
                <w:rFonts w:cstheme="minorHAnsi"/>
                <w:color w:val="000000" w:themeColor="text1"/>
                <w:sz w:val="18"/>
                <w:szCs w:val="18"/>
              </w:rPr>
            </w:pPr>
            <w:r>
              <w:rPr>
                <w:rFonts w:cstheme="minorHAnsi"/>
                <w:color w:val="000000" w:themeColor="text1"/>
                <w:sz w:val="18"/>
                <w:szCs w:val="18"/>
              </w:rPr>
              <w:t xml:space="preserve">    1,2</w:t>
            </w:r>
          </w:p>
        </w:tc>
        <w:tc>
          <w:tcPr>
            <w:tcW w:w="1091" w:type="dxa"/>
          </w:tcPr>
          <w:p w14:paraId="0B21A9C1" w14:textId="77777777" w:rsidR="009F0A76" w:rsidRPr="00AC4188" w:rsidRDefault="009F0A76" w:rsidP="00DC715C">
            <w:pPr>
              <w:rPr>
                <w:rFonts w:cstheme="minorHAnsi"/>
                <w:sz w:val="18"/>
                <w:szCs w:val="18"/>
              </w:rPr>
            </w:pPr>
            <w:r>
              <w:rPr>
                <w:rFonts w:ascii="Arial" w:hAnsi="Arial" w:cs="Arial"/>
                <w:sz w:val="18"/>
                <w:szCs w:val="18"/>
              </w:rPr>
              <w:t>87,1</w:t>
            </w:r>
          </w:p>
        </w:tc>
        <w:tc>
          <w:tcPr>
            <w:tcW w:w="1091" w:type="dxa"/>
          </w:tcPr>
          <w:p w14:paraId="257A038B" w14:textId="77777777" w:rsidR="009F0A76" w:rsidRPr="007A35F4" w:rsidRDefault="009F0A76" w:rsidP="00DC715C">
            <w:pPr>
              <w:rPr>
                <w:rFonts w:cstheme="minorHAnsi"/>
                <w:color w:val="000000" w:themeColor="text1"/>
                <w:sz w:val="18"/>
                <w:szCs w:val="18"/>
              </w:rPr>
            </w:pPr>
            <w:r>
              <w:rPr>
                <w:rFonts w:cstheme="minorHAnsi"/>
                <w:color w:val="000000" w:themeColor="text1"/>
                <w:sz w:val="18"/>
                <w:szCs w:val="18"/>
              </w:rPr>
              <w:t xml:space="preserve">       1,3</w:t>
            </w:r>
          </w:p>
        </w:tc>
        <w:tc>
          <w:tcPr>
            <w:tcW w:w="1091" w:type="dxa"/>
          </w:tcPr>
          <w:p w14:paraId="54E6A856" w14:textId="77777777" w:rsidR="009F0A76" w:rsidRPr="00AC4188" w:rsidRDefault="009F0A76" w:rsidP="00DC715C">
            <w:pPr>
              <w:rPr>
                <w:rFonts w:cstheme="minorHAnsi"/>
                <w:sz w:val="18"/>
                <w:szCs w:val="18"/>
              </w:rPr>
            </w:pPr>
            <w:r>
              <w:rPr>
                <w:rFonts w:ascii="Arial" w:hAnsi="Arial" w:cs="Arial"/>
                <w:sz w:val="18"/>
                <w:szCs w:val="18"/>
              </w:rPr>
              <w:t>90,7</w:t>
            </w:r>
          </w:p>
        </w:tc>
        <w:tc>
          <w:tcPr>
            <w:tcW w:w="1091" w:type="dxa"/>
          </w:tcPr>
          <w:p w14:paraId="2FD4D7F7" w14:textId="77777777" w:rsidR="009F0A76" w:rsidRPr="007A35F4" w:rsidRDefault="009F0A76" w:rsidP="00DC715C">
            <w:pPr>
              <w:rPr>
                <w:rFonts w:cstheme="minorHAnsi"/>
                <w:color w:val="000000" w:themeColor="text1"/>
                <w:sz w:val="18"/>
                <w:szCs w:val="18"/>
              </w:rPr>
            </w:pPr>
            <w:r>
              <w:rPr>
                <w:rFonts w:cstheme="minorHAnsi"/>
                <w:color w:val="000000" w:themeColor="text1"/>
                <w:sz w:val="18"/>
                <w:szCs w:val="18"/>
              </w:rPr>
              <w:t xml:space="preserve">     1,3</w:t>
            </w:r>
          </w:p>
        </w:tc>
      </w:tr>
      <w:tr w:rsidR="009F0A76" w14:paraId="13EA67AB" w14:textId="77777777" w:rsidTr="00DC715C">
        <w:trPr>
          <w:trHeight w:val="275"/>
        </w:trPr>
        <w:tc>
          <w:tcPr>
            <w:tcW w:w="1202" w:type="dxa"/>
          </w:tcPr>
          <w:p w14:paraId="7A5F07CE"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Větrné (VTE)</w:t>
            </w:r>
          </w:p>
        </w:tc>
        <w:tc>
          <w:tcPr>
            <w:tcW w:w="1091" w:type="dxa"/>
          </w:tcPr>
          <w:p w14:paraId="2ABB701C" w14:textId="77777777" w:rsidR="009F0A76" w:rsidRPr="00AC4188" w:rsidRDefault="009F0A76" w:rsidP="00DC715C">
            <w:pPr>
              <w:rPr>
                <w:rFonts w:cstheme="minorHAnsi"/>
                <w:sz w:val="18"/>
                <w:szCs w:val="18"/>
              </w:rPr>
            </w:pPr>
            <w:r>
              <w:rPr>
                <w:rFonts w:ascii="Arial" w:hAnsi="Arial" w:cs="Arial"/>
                <w:sz w:val="18"/>
                <w:szCs w:val="18"/>
              </w:rPr>
              <w:t>88,3</w:t>
            </w:r>
          </w:p>
        </w:tc>
        <w:tc>
          <w:tcPr>
            <w:tcW w:w="1091" w:type="dxa"/>
          </w:tcPr>
          <w:p w14:paraId="73C8A8D4" w14:textId="77777777" w:rsidR="009F0A76" w:rsidRPr="007A35F4" w:rsidRDefault="009F0A76" w:rsidP="00DC715C">
            <w:pPr>
              <w:rPr>
                <w:rFonts w:cstheme="minorHAnsi"/>
                <w:color w:val="EE0000"/>
                <w:sz w:val="18"/>
                <w:szCs w:val="18"/>
              </w:rPr>
            </w:pPr>
            <w:r w:rsidRPr="007A35F4">
              <w:rPr>
                <w:rFonts w:cstheme="minorHAnsi"/>
                <w:color w:val="EE0000"/>
                <w:sz w:val="18"/>
                <w:szCs w:val="18"/>
              </w:rPr>
              <w:t xml:space="preserve">    1,2</w:t>
            </w:r>
          </w:p>
        </w:tc>
        <w:tc>
          <w:tcPr>
            <w:tcW w:w="1091" w:type="dxa"/>
          </w:tcPr>
          <w:p w14:paraId="7401B1DE" w14:textId="77777777" w:rsidR="009F0A76" w:rsidRPr="00AC4188" w:rsidRDefault="009F0A76" w:rsidP="00DC715C">
            <w:pPr>
              <w:rPr>
                <w:rFonts w:cstheme="minorHAnsi"/>
                <w:sz w:val="18"/>
                <w:szCs w:val="18"/>
              </w:rPr>
            </w:pPr>
            <w:r>
              <w:rPr>
                <w:rFonts w:ascii="Arial" w:hAnsi="Arial" w:cs="Arial"/>
                <w:sz w:val="18"/>
                <w:szCs w:val="18"/>
              </w:rPr>
              <w:t>42,6</w:t>
            </w:r>
          </w:p>
        </w:tc>
        <w:tc>
          <w:tcPr>
            <w:tcW w:w="1091" w:type="dxa"/>
          </w:tcPr>
          <w:p w14:paraId="00117E60" w14:textId="77777777" w:rsidR="009F0A76" w:rsidRPr="007A35F4" w:rsidRDefault="009F0A76" w:rsidP="00DC715C">
            <w:pPr>
              <w:rPr>
                <w:rFonts w:cstheme="minorHAnsi"/>
                <w:color w:val="EE0000"/>
                <w:sz w:val="18"/>
                <w:szCs w:val="18"/>
              </w:rPr>
            </w:pPr>
            <w:r w:rsidRPr="007A35F4">
              <w:rPr>
                <w:rFonts w:cstheme="minorHAnsi"/>
                <w:color w:val="EE0000"/>
                <w:sz w:val="18"/>
                <w:szCs w:val="18"/>
              </w:rPr>
              <w:t xml:space="preserve">       0,6</w:t>
            </w:r>
          </w:p>
        </w:tc>
        <w:tc>
          <w:tcPr>
            <w:tcW w:w="1091" w:type="dxa"/>
          </w:tcPr>
          <w:p w14:paraId="3A29CB91" w14:textId="77777777" w:rsidR="009F0A76" w:rsidRPr="00AC4188" w:rsidRDefault="009F0A76" w:rsidP="00DC715C">
            <w:pPr>
              <w:rPr>
                <w:rFonts w:cstheme="minorHAnsi"/>
                <w:sz w:val="18"/>
                <w:szCs w:val="18"/>
              </w:rPr>
            </w:pPr>
            <w:r>
              <w:rPr>
                <w:rFonts w:ascii="Arial" w:hAnsi="Arial" w:cs="Arial"/>
                <w:sz w:val="18"/>
                <w:szCs w:val="18"/>
              </w:rPr>
              <w:t>48,0</w:t>
            </w:r>
          </w:p>
        </w:tc>
        <w:tc>
          <w:tcPr>
            <w:tcW w:w="1091" w:type="dxa"/>
          </w:tcPr>
          <w:p w14:paraId="70735756" w14:textId="77777777" w:rsidR="009F0A76" w:rsidRPr="007A35F4" w:rsidRDefault="009F0A76" w:rsidP="00DC715C">
            <w:pPr>
              <w:rPr>
                <w:rFonts w:cstheme="minorHAnsi"/>
                <w:color w:val="000000" w:themeColor="text1"/>
                <w:sz w:val="18"/>
                <w:szCs w:val="18"/>
              </w:rPr>
            </w:pPr>
            <w:r>
              <w:rPr>
                <w:rFonts w:cstheme="minorHAnsi"/>
                <w:color w:val="000000" w:themeColor="text1"/>
                <w:sz w:val="18"/>
                <w:szCs w:val="18"/>
              </w:rPr>
              <w:t xml:space="preserve">     0,7</w:t>
            </w:r>
          </w:p>
        </w:tc>
      </w:tr>
      <w:tr w:rsidR="009F0A76" w14:paraId="08D6ACE1" w14:textId="77777777" w:rsidTr="00DC715C">
        <w:trPr>
          <w:trHeight w:val="414"/>
        </w:trPr>
        <w:tc>
          <w:tcPr>
            <w:tcW w:w="1202" w:type="dxa"/>
          </w:tcPr>
          <w:p w14:paraId="2297D47A" w14:textId="77777777" w:rsidR="009F0A76" w:rsidRPr="00AC4188" w:rsidRDefault="009F0A76" w:rsidP="00DC715C">
            <w:pPr>
              <w:rPr>
                <w:rFonts w:cstheme="minorHAnsi"/>
                <w:sz w:val="18"/>
                <w:szCs w:val="18"/>
              </w:rPr>
            </w:pPr>
            <w:r w:rsidRPr="004F2338">
              <w:rPr>
                <w:rFonts w:eastAsia="Times New Roman" w:cstheme="minorHAnsi"/>
                <w:kern w:val="0"/>
                <w:sz w:val="18"/>
                <w:szCs w:val="18"/>
                <w:lang w:eastAsia="cs-CZ"/>
                <w14:ligatures w14:val="none"/>
              </w:rPr>
              <w:t>Fotovoltaické (FVE)</w:t>
            </w:r>
          </w:p>
        </w:tc>
        <w:tc>
          <w:tcPr>
            <w:tcW w:w="1091" w:type="dxa"/>
          </w:tcPr>
          <w:p w14:paraId="35BF1F7E" w14:textId="77777777" w:rsidR="009F0A76" w:rsidRPr="00AC4188" w:rsidRDefault="009F0A76" w:rsidP="00DC715C">
            <w:pPr>
              <w:rPr>
                <w:rFonts w:cstheme="minorHAnsi"/>
                <w:sz w:val="18"/>
                <w:szCs w:val="18"/>
              </w:rPr>
            </w:pPr>
            <w:r>
              <w:rPr>
                <w:rFonts w:ascii="Arial" w:hAnsi="Arial" w:cs="Arial"/>
                <w:sz w:val="18"/>
                <w:szCs w:val="18"/>
              </w:rPr>
              <w:t>95,0</w:t>
            </w:r>
          </w:p>
        </w:tc>
        <w:tc>
          <w:tcPr>
            <w:tcW w:w="1091" w:type="dxa"/>
          </w:tcPr>
          <w:p w14:paraId="0027F015" w14:textId="77777777" w:rsidR="009F0A76" w:rsidRPr="007A35F4" w:rsidRDefault="009F0A76" w:rsidP="00DC715C">
            <w:pPr>
              <w:rPr>
                <w:rFonts w:cstheme="minorHAnsi"/>
                <w:color w:val="EE0000"/>
                <w:sz w:val="18"/>
                <w:szCs w:val="18"/>
              </w:rPr>
            </w:pPr>
            <w:r w:rsidRPr="007A35F4">
              <w:rPr>
                <w:rFonts w:cstheme="minorHAnsi"/>
                <w:color w:val="EE0000"/>
                <w:sz w:val="18"/>
                <w:szCs w:val="18"/>
              </w:rPr>
              <w:t xml:space="preserve">    1,3</w:t>
            </w:r>
          </w:p>
        </w:tc>
        <w:tc>
          <w:tcPr>
            <w:tcW w:w="1091" w:type="dxa"/>
          </w:tcPr>
          <w:p w14:paraId="1731F7CD" w14:textId="77777777" w:rsidR="009F0A76" w:rsidRPr="00AC4188" w:rsidRDefault="009F0A76" w:rsidP="00DC715C">
            <w:pPr>
              <w:rPr>
                <w:rFonts w:cstheme="minorHAnsi"/>
                <w:sz w:val="18"/>
                <w:szCs w:val="18"/>
              </w:rPr>
            </w:pPr>
            <w:r>
              <w:rPr>
                <w:rFonts w:ascii="Arial" w:hAnsi="Arial" w:cs="Arial"/>
                <w:sz w:val="18"/>
                <w:szCs w:val="18"/>
              </w:rPr>
              <w:t>224,2</w:t>
            </w:r>
          </w:p>
        </w:tc>
        <w:tc>
          <w:tcPr>
            <w:tcW w:w="1091" w:type="dxa"/>
          </w:tcPr>
          <w:p w14:paraId="72FC205A" w14:textId="77777777" w:rsidR="009F0A76" w:rsidRPr="007A35F4" w:rsidRDefault="009F0A76" w:rsidP="00DC715C">
            <w:pPr>
              <w:rPr>
                <w:rFonts w:cstheme="minorHAnsi"/>
                <w:color w:val="EE0000"/>
                <w:sz w:val="18"/>
                <w:szCs w:val="18"/>
              </w:rPr>
            </w:pPr>
            <w:r w:rsidRPr="007A35F4">
              <w:rPr>
                <w:rFonts w:cstheme="minorHAnsi"/>
                <w:color w:val="EE0000"/>
                <w:sz w:val="18"/>
                <w:szCs w:val="18"/>
              </w:rPr>
              <w:t xml:space="preserve">       3,3</w:t>
            </w:r>
          </w:p>
        </w:tc>
        <w:tc>
          <w:tcPr>
            <w:tcW w:w="1091" w:type="dxa"/>
          </w:tcPr>
          <w:p w14:paraId="4D7223B2" w14:textId="77777777" w:rsidR="009F0A76" w:rsidRPr="00AC4188" w:rsidRDefault="009F0A76" w:rsidP="00DC715C">
            <w:pPr>
              <w:rPr>
                <w:rFonts w:cstheme="minorHAnsi"/>
                <w:sz w:val="18"/>
                <w:szCs w:val="18"/>
              </w:rPr>
            </w:pPr>
            <w:r>
              <w:rPr>
                <w:rFonts w:ascii="Arial" w:hAnsi="Arial" w:cs="Arial"/>
                <w:sz w:val="18"/>
                <w:szCs w:val="18"/>
              </w:rPr>
              <w:t>399,1</w:t>
            </w:r>
          </w:p>
        </w:tc>
        <w:tc>
          <w:tcPr>
            <w:tcW w:w="1091" w:type="dxa"/>
          </w:tcPr>
          <w:p w14:paraId="2ED05196" w14:textId="77777777" w:rsidR="009F0A76" w:rsidRPr="007A35F4" w:rsidRDefault="009F0A76" w:rsidP="00DC715C">
            <w:pPr>
              <w:rPr>
                <w:rFonts w:cstheme="minorHAnsi"/>
                <w:color w:val="000000" w:themeColor="text1"/>
                <w:sz w:val="18"/>
                <w:szCs w:val="18"/>
              </w:rPr>
            </w:pPr>
            <w:r>
              <w:rPr>
                <w:rFonts w:cstheme="minorHAnsi"/>
                <w:color w:val="000000" w:themeColor="text1"/>
                <w:sz w:val="18"/>
                <w:szCs w:val="18"/>
              </w:rPr>
              <w:t xml:space="preserve">     5,9</w:t>
            </w:r>
          </w:p>
        </w:tc>
      </w:tr>
    </w:tbl>
    <w:p w14:paraId="37F02CE7" w14:textId="2EB2EEDC" w:rsidR="009F0A76" w:rsidRDefault="009F0A76">
      <w:r>
        <w:t>(*) Vedle výroby elektřiny z uhlí zahrnuje i malý podíl z biomasy</w:t>
      </w:r>
      <w:r>
        <w:br/>
        <w:t xml:space="preserve">Zdroj: </w:t>
      </w:r>
      <w:hyperlink r:id="rId10" w:history="1">
        <w:r w:rsidRPr="009A4AC1">
          <w:rPr>
            <w:rStyle w:val="Hypertextovodkaz"/>
            <w:color w:val="000000" w:themeColor="text1"/>
          </w:rPr>
          <w:t>https://eru.gov.cz/ctvrtletni-zprava-o-provozu-elektrizacni-soustavy-cr-za-i-ctvrtleti-2025</w:t>
        </w:r>
      </w:hyperlink>
      <w:r>
        <w:rPr>
          <w:b/>
          <w:bCs/>
        </w:rPr>
        <w:t>,</w:t>
      </w:r>
      <w:r>
        <w:t xml:space="preserve"> autor textu dopočítal z údajů ERÚ procentuální podíl </w:t>
      </w:r>
      <w:r>
        <w:br/>
      </w:r>
    </w:p>
    <w:p w14:paraId="013317FD" w14:textId="77777777" w:rsidR="009F0A76" w:rsidRPr="00FB5EF5" w:rsidRDefault="009F0A76" w:rsidP="009F0A76">
      <w:pPr>
        <w:rPr>
          <w:b/>
          <w:bCs/>
          <w:i/>
          <w:iCs/>
          <w:sz w:val="24"/>
          <w:szCs w:val="24"/>
        </w:rPr>
      </w:pPr>
      <w:r w:rsidRPr="00FB5EF5">
        <w:rPr>
          <w:b/>
          <w:bCs/>
          <w:i/>
          <w:iCs/>
          <w:sz w:val="24"/>
          <w:szCs w:val="24"/>
        </w:rPr>
        <w:t xml:space="preserve">Bez elektráren Počerady, Chvaletice a Kladno Česko sotva zvládne nejvyšší zátěž soustavy </w:t>
      </w:r>
    </w:p>
    <w:p w14:paraId="6E261DCA" w14:textId="3B95F910" w:rsidR="009F0A76" w:rsidRDefault="009F0A76" w:rsidP="009F0A76">
      <w:r w:rsidRPr="009E553D">
        <w:t>Jak vidno z následující tabul</w:t>
      </w:r>
      <w:r>
        <w:t xml:space="preserve">ky </w:t>
      </w:r>
      <w:r w:rsidRPr="009E553D">
        <w:t xml:space="preserve">ERÚ za </w:t>
      </w:r>
      <w:r>
        <w:t xml:space="preserve">leden </w:t>
      </w:r>
      <w:r w:rsidRPr="009E553D">
        <w:t>2025</w:t>
      </w:r>
      <w:r>
        <w:t xml:space="preserve"> (další dva měsíce jsou na tom obdobně, viz odkaz na web ERÚ), maxima zatížení české </w:t>
      </w:r>
      <w:proofErr w:type="spellStart"/>
      <w:r>
        <w:t>elektrosoustavy</w:t>
      </w:r>
      <w:proofErr w:type="spellEnd"/>
      <w:r>
        <w:t xml:space="preserve"> až z 55 % doslova visí na výkonu uhelných elektráren. Tolik prosazované solární elektrárny (FVE) se na pokrytí denních maxim podílejí ze 7 %. Větrné elektrárny (VTE), vzývané některými ideology zelené tranzice a samozřejmě lobbisty za tyto dotované zdroje jako údajná spása pro Česko s tím, že jejich instalovaná kapacita se má do roku 2030 zpětinásobit na 1,5 GW, ve sledovaném období měly dokonce na pokrytí zátěže spotřeby elektřiny v ČR nulový podíl. Tedy i plánovaný pětinásobek výkonu by ve stejných podmínkách letošního prvního pololetí přinesl i v roce 2030 nulový podíl.  </w:t>
      </w:r>
    </w:p>
    <w:p w14:paraId="4751CE0F" w14:textId="77777777" w:rsidR="009F0A76" w:rsidRPr="00385F7F" w:rsidRDefault="009F0A76" w:rsidP="009F0A76">
      <w:pPr>
        <w:rPr>
          <w:b/>
          <w:bCs/>
        </w:rPr>
      </w:pPr>
      <w:r w:rsidRPr="00385F7F">
        <w:rPr>
          <w:b/>
          <w:bCs/>
        </w:rPr>
        <w:t>Pokrytí denního maxima zatížení ES v prvním čtvrtletí 2025</w:t>
      </w:r>
    </w:p>
    <w:tbl>
      <w:tblPr>
        <w:tblW w:w="5921" w:type="dxa"/>
        <w:tblCellMar>
          <w:left w:w="70" w:type="dxa"/>
          <w:right w:w="70" w:type="dxa"/>
        </w:tblCellMar>
        <w:tblLook w:val="04A0" w:firstRow="1" w:lastRow="0" w:firstColumn="1" w:lastColumn="0" w:noHBand="0" w:noVBand="1"/>
      </w:tblPr>
      <w:tblGrid>
        <w:gridCol w:w="4520"/>
        <w:gridCol w:w="800"/>
        <w:gridCol w:w="601"/>
      </w:tblGrid>
      <w:tr w:rsidR="009F0A76" w:rsidRPr="008B689C" w14:paraId="43966D93" w14:textId="77777777" w:rsidTr="00DC715C">
        <w:trPr>
          <w:trHeight w:val="240"/>
        </w:trPr>
        <w:tc>
          <w:tcPr>
            <w:tcW w:w="4520" w:type="dxa"/>
            <w:tcBorders>
              <w:top w:val="single" w:sz="4" w:space="0" w:color="auto"/>
              <w:left w:val="nil"/>
              <w:bottom w:val="single" w:sz="4" w:space="0" w:color="auto"/>
              <w:right w:val="nil"/>
            </w:tcBorders>
            <w:shd w:val="clear" w:color="000000" w:fill="FFFFFF"/>
            <w:vAlign w:val="bottom"/>
            <w:hideMark/>
          </w:tcPr>
          <w:p w14:paraId="285B0312" w14:textId="77777777" w:rsidR="009F0A76" w:rsidRPr="008B689C" w:rsidRDefault="009F0A76" w:rsidP="00DC715C">
            <w:pPr>
              <w:spacing w:after="0" w:line="240" w:lineRule="auto"/>
              <w:rPr>
                <w:rFonts w:eastAsia="Times New Roman" w:cstheme="minorHAnsi"/>
                <w:b/>
                <w:bCs/>
                <w:kern w:val="0"/>
                <w:sz w:val="18"/>
                <w:szCs w:val="18"/>
                <w:lang w:eastAsia="cs-CZ"/>
              </w:rPr>
            </w:pPr>
            <w:r w:rsidRPr="008B689C">
              <w:rPr>
                <w:rFonts w:cstheme="minorHAnsi"/>
              </w:rPr>
              <w:t xml:space="preserve"> </w:t>
            </w:r>
            <w:r w:rsidRPr="008B689C">
              <w:rPr>
                <w:rFonts w:eastAsia="Times New Roman" w:cstheme="minorHAnsi"/>
                <w:b/>
                <w:bCs/>
                <w:kern w:val="0"/>
                <w:sz w:val="18"/>
                <w:szCs w:val="18"/>
                <w:lang w:eastAsia="cs-CZ"/>
              </w:rPr>
              <w:t xml:space="preserve">Struktura pokrytí denního maxima </w:t>
            </w:r>
            <w:proofErr w:type="gramStart"/>
            <w:r w:rsidRPr="008B689C">
              <w:rPr>
                <w:rFonts w:eastAsia="Times New Roman" w:cstheme="minorHAnsi"/>
                <w:b/>
                <w:bCs/>
                <w:kern w:val="0"/>
                <w:sz w:val="18"/>
                <w:szCs w:val="18"/>
                <w:lang w:eastAsia="cs-CZ"/>
              </w:rPr>
              <w:t>zatížení - leden</w:t>
            </w:r>
            <w:proofErr w:type="gramEnd"/>
          </w:p>
        </w:tc>
        <w:tc>
          <w:tcPr>
            <w:tcW w:w="800" w:type="dxa"/>
            <w:tcBorders>
              <w:top w:val="single" w:sz="4" w:space="0" w:color="auto"/>
              <w:left w:val="nil"/>
              <w:bottom w:val="nil"/>
              <w:right w:val="nil"/>
            </w:tcBorders>
            <w:shd w:val="clear" w:color="000000" w:fill="FFFFFF"/>
            <w:vAlign w:val="center"/>
            <w:hideMark/>
          </w:tcPr>
          <w:p w14:paraId="4691996A" w14:textId="77777777" w:rsidR="009F0A76" w:rsidRPr="008B689C" w:rsidRDefault="009F0A76" w:rsidP="00DC715C">
            <w:pPr>
              <w:spacing w:after="0" w:line="240" w:lineRule="auto"/>
              <w:jc w:val="right"/>
              <w:rPr>
                <w:rFonts w:eastAsia="Times New Roman" w:cstheme="minorHAnsi"/>
                <w:b/>
                <w:bCs/>
                <w:kern w:val="0"/>
                <w:sz w:val="18"/>
                <w:szCs w:val="18"/>
                <w:lang w:eastAsia="cs-CZ"/>
              </w:rPr>
            </w:pPr>
            <w:r w:rsidRPr="008B689C">
              <w:rPr>
                <w:rFonts w:eastAsia="Times New Roman" w:cstheme="minorHAnsi"/>
                <w:b/>
                <w:bCs/>
                <w:kern w:val="0"/>
                <w:sz w:val="18"/>
                <w:szCs w:val="18"/>
                <w:lang w:eastAsia="cs-CZ"/>
              </w:rPr>
              <w:t>[MW]</w:t>
            </w:r>
          </w:p>
        </w:tc>
        <w:tc>
          <w:tcPr>
            <w:tcW w:w="601" w:type="dxa"/>
            <w:tcBorders>
              <w:top w:val="single" w:sz="4" w:space="0" w:color="auto"/>
              <w:left w:val="nil"/>
              <w:bottom w:val="nil"/>
              <w:right w:val="nil"/>
            </w:tcBorders>
            <w:shd w:val="clear" w:color="000000" w:fill="FFFFFF"/>
            <w:vAlign w:val="center"/>
            <w:hideMark/>
          </w:tcPr>
          <w:p w14:paraId="5AB7431C" w14:textId="77777777" w:rsidR="009F0A76" w:rsidRPr="008B689C" w:rsidRDefault="009F0A76" w:rsidP="00DC715C">
            <w:pPr>
              <w:spacing w:after="0" w:line="240" w:lineRule="auto"/>
              <w:jc w:val="right"/>
              <w:rPr>
                <w:rFonts w:eastAsia="Times New Roman" w:cstheme="minorHAnsi"/>
                <w:b/>
                <w:bCs/>
                <w:kern w:val="0"/>
                <w:sz w:val="18"/>
                <w:szCs w:val="18"/>
                <w:lang w:eastAsia="cs-CZ"/>
              </w:rPr>
            </w:pPr>
            <w:r w:rsidRPr="008B689C">
              <w:rPr>
                <w:rFonts w:eastAsia="Times New Roman" w:cstheme="minorHAnsi"/>
                <w:b/>
                <w:bCs/>
                <w:kern w:val="0"/>
                <w:sz w:val="18"/>
                <w:szCs w:val="18"/>
                <w:lang w:eastAsia="cs-CZ"/>
              </w:rPr>
              <w:t> </w:t>
            </w:r>
          </w:p>
        </w:tc>
      </w:tr>
      <w:tr w:rsidR="009F0A76" w:rsidRPr="008B689C" w14:paraId="206DB7EB" w14:textId="77777777" w:rsidTr="00DC715C">
        <w:trPr>
          <w:trHeight w:val="240"/>
        </w:trPr>
        <w:tc>
          <w:tcPr>
            <w:tcW w:w="4520" w:type="dxa"/>
            <w:tcBorders>
              <w:top w:val="single" w:sz="4" w:space="0" w:color="auto"/>
              <w:left w:val="nil"/>
              <w:bottom w:val="single" w:sz="4" w:space="0" w:color="auto"/>
              <w:right w:val="nil"/>
            </w:tcBorders>
            <w:shd w:val="clear" w:color="000000" w:fill="FFFFFF"/>
            <w:vAlign w:val="bottom"/>
          </w:tcPr>
          <w:p w14:paraId="7CF68986" w14:textId="77777777" w:rsidR="009F0A76" w:rsidRPr="008B689C" w:rsidRDefault="009F0A76" w:rsidP="00DC715C">
            <w:pPr>
              <w:spacing w:after="0" w:line="240" w:lineRule="auto"/>
              <w:rPr>
                <w:rFonts w:eastAsia="Times New Roman" w:cstheme="minorHAnsi"/>
                <w:b/>
                <w:bCs/>
                <w:kern w:val="0"/>
                <w:sz w:val="18"/>
                <w:szCs w:val="18"/>
                <w:lang w:eastAsia="cs-CZ"/>
              </w:rPr>
            </w:pPr>
          </w:p>
        </w:tc>
        <w:tc>
          <w:tcPr>
            <w:tcW w:w="800" w:type="dxa"/>
            <w:tcBorders>
              <w:top w:val="single" w:sz="4" w:space="0" w:color="auto"/>
              <w:left w:val="nil"/>
              <w:bottom w:val="nil"/>
              <w:right w:val="nil"/>
            </w:tcBorders>
            <w:shd w:val="clear" w:color="000000" w:fill="FFFFFF"/>
            <w:vAlign w:val="center"/>
          </w:tcPr>
          <w:p w14:paraId="1906D3D1" w14:textId="77777777" w:rsidR="009F0A76" w:rsidRPr="008B689C" w:rsidRDefault="009F0A76" w:rsidP="00DC715C">
            <w:pPr>
              <w:spacing w:after="0" w:line="240" w:lineRule="auto"/>
              <w:jc w:val="right"/>
              <w:rPr>
                <w:rFonts w:eastAsia="Times New Roman" w:cstheme="minorHAnsi"/>
                <w:b/>
                <w:bCs/>
                <w:kern w:val="0"/>
                <w:sz w:val="18"/>
                <w:szCs w:val="18"/>
                <w:lang w:eastAsia="cs-CZ"/>
              </w:rPr>
            </w:pPr>
          </w:p>
        </w:tc>
        <w:tc>
          <w:tcPr>
            <w:tcW w:w="601" w:type="dxa"/>
            <w:tcBorders>
              <w:top w:val="single" w:sz="4" w:space="0" w:color="auto"/>
              <w:left w:val="nil"/>
              <w:bottom w:val="nil"/>
              <w:right w:val="nil"/>
            </w:tcBorders>
            <w:shd w:val="clear" w:color="000000" w:fill="FFFFFF"/>
            <w:vAlign w:val="center"/>
          </w:tcPr>
          <w:p w14:paraId="35F8AF66" w14:textId="77777777" w:rsidR="009F0A76" w:rsidRPr="008B689C" w:rsidRDefault="009F0A76" w:rsidP="00DC715C">
            <w:pPr>
              <w:spacing w:after="0" w:line="240" w:lineRule="auto"/>
              <w:jc w:val="right"/>
              <w:rPr>
                <w:rFonts w:eastAsia="Times New Roman" w:cstheme="minorHAnsi"/>
                <w:b/>
                <w:bCs/>
                <w:kern w:val="0"/>
                <w:sz w:val="18"/>
                <w:szCs w:val="18"/>
                <w:lang w:eastAsia="cs-CZ"/>
              </w:rPr>
            </w:pPr>
          </w:p>
        </w:tc>
      </w:tr>
      <w:tr w:rsidR="009F0A76" w:rsidRPr="008B689C" w14:paraId="182BA89F" w14:textId="77777777" w:rsidTr="00DC715C">
        <w:trPr>
          <w:trHeight w:val="240"/>
        </w:trPr>
        <w:tc>
          <w:tcPr>
            <w:tcW w:w="4520" w:type="dxa"/>
            <w:tcBorders>
              <w:top w:val="single" w:sz="4" w:space="0" w:color="auto"/>
              <w:left w:val="nil"/>
              <w:bottom w:val="single" w:sz="4" w:space="0" w:color="auto"/>
              <w:right w:val="nil"/>
            </w:tcBorders>
            <w:shd w:val="clear" w:color="000000" w:fill="FFFFFF"/>
            <w:noWrap/>
            <w:vAlign w:val="bottom"/>
            <w:hideMark/>
          </w:tcPr>
          <w:p w14:paraId="2C35805F" w14:textId="77777777" w:rsidR="009F0A76" w:rsidRPr="008B689C" w:rsidRDefault="009F0A76" w:rsidP="00DC715C">
            <w:pPr>
              <w:spacing w:after="0" w:line="240" w:lineRule="auto"/>
              <w:rPr>
                <w:rFonts w:eastAsia="Times New Roman" w:cstheme="minorHAnsi"/>
                <w:b/>
                <w:bCs/>
                <w:kern w:val="0"/>
                <w:sz w:val="18"/>
                <w:szCs w:val="18"/>
                <w:lang w:eastAsia="cs-CZ"/>
              </w:rPr>
            </w:pPr>
            <w:r w:rsidRPr="008B689C">
              <w:rPr>
                <w:rFonts w:eastAsia="Times New Roman" w:cstheme="minorHAnsi"/>
                <w:b/>
                <w:bCs/>
                <w:kern w:val="0"/>
                <w:sz w:val="18"/>
                <w:szCs w:val="18"/>
                <w:lang w:eastAsia="cs-CZ"/>
              </w:rPr>
              <w:t>Zatížení brutto</w:t>
            </w:r>
          </w:p>
        </w:tc>
        <w:tc>
          <w:tcPr>
            <w:tcW w:w="800" w:type="dxa"/>
            <w:tcBorders>
              <w:top w:val="single" w:sz="4" w:space="0" w:color="auto"/>
              <w:left w:val="nil"/>
              <w:bottom w:val="single" w:sz="4" w:space="0" w:color="auto"/>
              <w:right w:val="nil"/>
            </w:tcBorders>
            <w:shd w:val="clear" w:color="000000" w:fill="FFFFFF"/>
            <w:noWrap/>
            <w:vAlign w:val="bottom"/>
            <w:hideMark/>
          </w:tcPr>
          <w:p w14:paraId="1B8A99BA" w14:textId="77777777" w:rsidR="009F0A76" w:rsidRPr="008B689C" w:rsidRDefault="009F0A76" w:rsidP="00DC715C">
            <w:pPr>
              <w:spacing w:after="0" w:line="240" w:lineRule="auto"/>
              <w:jc w:val="right"/>
              <w:rPr>
                <w:rFonts w:eastAsia="Times New Roman" w:cstheme="minorHAnsi"/>
                <w:b/>
                <w:bCs/>
                <w:kern w:val="0"/>
                <w:sz w:val="18"/>
                <w:szCs w:val="18"/>
                <w:lang w:eastAsia="cs-CZ"/>
              </w:rPr>
            </w:pPr>
            <w:r w:rsidRPr="008B689C">
              <w:rPr>
                <w:rFonts w:eastAsia="Times New Roman" w:cstheme="minorHAnsi"/>
                <w:b/>
                <w:bCs/>
                <w:kern w:val="0"/>
                <w:sz w:val="18"/>
                <w:szCs w:val="18"/>
                <w:lang w:eastAsia="cs-CZ"/>
              </w:rPr>
              <w:t>11 288,4</w:t>
            </w:r>
          </w:p>
        </w:tc>
        <w:tc>
          <w:tcPr>
            <w:tcW w:w="601" w:type="dxa"/>
            <w:tcBorders>
              <w:top w:val="single" w:sz="4" w:space="0" w:color="auto"/>
              <w:left w:val="nil"/>
              <w:bottom w:val="single" w:sz="4" w:space="0" w:color="auto"/>
              <w:right w:val="nil"/>
            </w:tcBorders>
            <w:shd w:val="clear" w:color="000000" w:fill="FFFFFF"/>
            <w:noWrap/>
            <w:vAlign w:val="bottom"/>
            <w:hideMark/>
          </w:tcPr>
          <w:p w14:paraId="2F38268D" w14:textId="77777777" w:rsidR="009F0A76" w:rsidRPr="008B689C" w:rsidRDefault="009F0A76" w:rsidP="00DC715C">
            <w:pPr>
              <w:spacing w:after="0" w:line="240" w:lineRule="auto"/>
              <w:jc w:val="right"/>
              <w:rPr>
                <w:rFonts w:eastAsia="Times New Roman" w:cstheme="minorHAnsi"/>
                <w:b/>
                <w:bCs/>
                <w:kern w:val="0"/>
                <w:sz w:val="18"/>
                <w:szCs w:val="18"/>
                <w:lang w:eastAsia="cs-CZ"/>
              </w:rPr>
            </w:pPr>
            <w:proofErr w:type="gramStart"/>
            <w:r w:rsidRPr="008B689C">
              <w:rPr>
                <w:rFonts w:eastAsia="Times New Roman" w:cstheme="minorHAnsi"/>
                <w:b/>
                <w:bCs/>
                <w:kern w:val="0"/>
                <w:sz w:val="18"/>
                <w:szCs w:val="18"/>
                <w:lang w:eastAsia="cs-CZ"/>
              </w:rPr>
              <w:t>100%</w:t>
            </w:r>
            <w:proofErr w:type="gramEnd"/>
          </w:p>
        </w:tc>
      </w:tr>
      <w:tr w:rsidR="009F0A76" w:rsidRPr="008B689C" w14:paraId="6DEC9E0F" w14:textId="77777777" w:rsidTr="00DC715C">
        <w:trPr>
          <w:trHeight w:val="240"/>
        </w:trPr>
        <w:tc>
          <w:tcPr>
            <w:tcW w:w="4520" w:type="dxa"/>
            <w:tcBorders>
              <w:top w:val="nil"/>
              <w:left w:val="nil"/>
              <w:bottom w:val="nil"/>
              <w:right w:val="nil"/>
            </w:tcBorders>
            <w:shd w:val="clear" w:color="000000" w:fill="FFFFFF"/>
            <w:noWrap/>
            <w:vAlign w:val="bottom"/>
            <w:hideMark/>
          </w:tcPr>
          <w:p w14:paraId="5DF0947B"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Jaderné elektrárny (JE)</w:t>
            </w:r>
          </w:p>
        </w:tc>
        <w:tc>
          <w:tcPr>
            <w:tcW w:w="800" w:type="dxa"/>
            <w:tcBorders>
              <w:top w:val="nil"/>
              <w:left w:val="nil"/>
              <w:bottom w:val="nil"/>
              <w:right w:val="nil"/>
            </w:tcBorders>
            <w:shd w:val="clear" w:color="000000" w:fill="FFFFFF"/>
            <w:noWrap/>
            <w:vAlign w:val="bottom"/>
            <w:hideMark/>
          </w:tcPr>
          <w:p w14:paraId="717D1FC7"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3 726,4</w:t>
            </w:r>
          </w:p>
        </w:tc>
        <w:tc>
          <w:tcPr>
            <w:tcW w:w="601" w:type="dxa"/>
            <w:tcBorders>
              <w:top w:val="nil"/>
              <w:left w:val="nil"/>
              <w:bottom w:val="nil"/>
              <w:right w:val="nil"/>
            </w:tcBorders>
            <w:shd w:val="clear" w:color="000000" w:fill="FFFFFF"/>
            <w:noWrap/>
            <w:vAlign w:val="bottom"/>
            <w:hideMark/>
          </w:tcPr>
          <w:p w14:paraId="6839011D"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33%</w:t>
            </w:r>
            <w:proofErr w:type="gramEnd"/>
          </w:p>
        </w:tc>
      </w:tr>
      <w:tr w:rsidR="009F0A76" w:rsidRPr="008B689C" w14:paraId="17D6B42E" w14:textId="77777777" w:rsidTr="00DC715C">
        <w:trPr>
          <w:trHeight w:val="240"/>
        </w:trPr>
        <w:tc>
          <w:tcPr>
            <w:tcW w:w="4520" w:type="dxa"/>
            <w:tcBorders>
              <w:top w:val="nil"/>
              <w:left w:val="nil"/>
              <w:bottom w:val="nil"/>
              <w:right w:val="nil"/>
            </w:tcBorders>
            <w:shd w:val="clear" w:color="000000" w:fill="FFFFFF"/>
            <w:noWrap/>
            <w:vAlign w:val="bottom"/>
            <w:hideMark/>
          </w:tcPr>
          <w:p w14:paraId="29788E33" w14:textId="77777777" w:rsidR="009F0A76" w:rsidRPr="008B689C" w:rsidRDefault="009F0A76" w:rsidP="00DC715C">
            <w:pPr>
              <w:spacing w:after="0" w:line="240" w:lineRule="auto"/>
              <w:rPr>
                <w:rFonts w:eastAsia="Times New Roman" w:cstheme="minorHAnsi"/>
                <w:b/>
                <w:bCs/>
                <w:color w:val="00B0F0"/>
                <w:kern w:val="0"/>
                <w:sz w:val="18"/>
                <w:szCs w:val="18"/>
                <w:lang w:eastAsia="cs-CZ"/>
              </w:rPr>
            </w:pPr>
            <w:r w:rsidRPr="008B689C">
              <w:rPr>
                <w:rFonts w:eastAsia="Times New Roman" w:cstheme="minorHAnsi"/>
                <w:b/>
                <w:bCs/>
                <w:color w:val="00B0F0"/>
                <w:kern w:val="0"/>
                <w:sz w:val="18"/>
                <w:szCs w:val="18"/>
                <w:lang w:eastAsia="cs-CZ"/>
              </w:rPr>
              <w:t>Parní elektrárny (PE)</w:t>
            </w:r>
          </w:p>
        </w:tc>
        <w:tc>
          <w:tcPr>
            <w:tcW w:w="800" w:type="dxa"/>
            <w:tcBorders>
              <w:top w:val="nil"/>
              <w:left w:val="nil"/>
              <w:bottom w:val="nil"/>
              <w:right w:val="nil"/>
            </w:tcBorders>
            <w:shd w:val="clear" w:color="000000" w:fill="FFFFFF"/>
            <w:noWrap/>
            <w:vAlign w:val="bottom"/>
            <w:hideMark/>
          </w:tcPr>
          <w:p w14:paraId="10F411F9" w14:textId="77777777" w:rsidR="009F0A76" w:rsidRPr="008B689C" w:rsidRDefault="009F0A76" w:rsidP="00DC715C">
            <w:pPr>
              <w:spacing w:after="0" w:line="240" w:lineRule="auto"/>
              <w:jc w:val="right"/>
              <w:rPr>
                <w:rFonts w:eastAsia="Times New Roman" w:cstheme="minorHAnsi"/>
                <w:b/>
                <w:bCs/>
                <w:color w:val="00B0F0"/>
                <w:kern w:val="0"/>
                <w:sz w:val="18"/>
                <w:szCs w:val="18"/>
                <w:lang w:eastAsia="cs-CZ"/>
              </w:rPr>
            </w:pPr>
            <w:r w:rsidRPr="008B689C">
              <w:rPr>
                <w:rFonts w:eastAsia="Times New Roman" w:cstheme="minorHAnsi"/>
                <w:b/>
                <w:bCs/>
                <w:color w:val="00B0F0"/>
                <w:kern w:val="0"/>
                <w:sz w:val="18"/>
                <w:szCs w:val="18"/>
                <w:lang w:eastAsia="cs-CZ"/>
              </w:rPr>
              <w:t>6 247,6</w:t>
            </w:r>
          </w:p>
        </w:tc>
        <w:tc>
          <w:tcPr>
            <w:tcW w:w="601" w:type="dxa"/>
            <w:tcBorders>
              <w:top w:val="nil"/>
              <w:left w:val="nil"/>
              <w:bottom w:val="nil"/>
              <w:right w:val="nil"/>
            </w:tcBorders>
            <w:shd w:val="clear" w:color="000000" w:fill="FFFFFF"/>
            <w:noWrap/>
            <w:vAlign w:val="bottom"/>
            <w:hideMark/>
          </w:tcPr>
          <w:p w14:paraId="7E622FF5" w14:textId="77777777" w:rsidR="009F0A76" w:rsidRPr="008B689C" w:rsidRDefault="009F0A76" w:rsidP="00DC715C">
            <w:pPr>
              <w:spacing w:after="0" w:line="240" w:lineRule="auto"/>
              <w:jc w:val="right"/>
              <w:rPr>
                <w:rFonts w:eastAsia="Times New Roman" w:cstheme="minorHAnsi"/>
                <w:b/>
                <w:bCs/>
                <w:color w:val="00B0F0"/>
                <w:kern w:val="0"/>
                <w:sz w:val="18"/>
                <w:szCs w:val="18"/>
                <w:lang w:eastAsia="cs-CZ"/>
              </w:rPr>
            </w:pPr>
            <w:proofErr w:type="gramStart"/>
            <w:r w:rsidRPr="008B689C">
              <w:rPr>
                <w:rFonts w:eastAsia="Times New Roman" w:cstheme="minorHAnsi"/>
                <w:b/>
                <w:bCs/>
                <w:color w:val="00B0F0"/>
                <w:kern w:val="0"/>
                <w:sz w:val="18"/>
                <w:szCs w:val="18"/>
                <w:lang w:eastAsia="cs-CZ"/>
              </w:rPr>
              <w:t>55%</w:t>
            </w:r>
            <w:proofErr w:type="gramEnd"/>
          </w:p>
        </w:tc>
      </w:tr>
      <w:tr w:rsidR="009F0A76" w:rsidRPr="008B689C" w14:paraId="41BFB0B0" w14:textId="77777777" w:rsidTr="00DC715C">
        <w:trPr>
          <w:trHeight w:val="240"/>
        </w:trPr>
        <w:tc>
          <w:tcPr>
            <w:tcW w:w="4520" w:type="dxa"/>
            <w:tcBorders>
              <w:top w:val="nil"/>
              <w:left w:val="nil"/>
              <w:bottom w:val="nil"/>
              <w:right w:val="nil"/>
            </w:tcBorders>
            <w:shd w:val="clear" w:color="000000" w:fill="FFFFFF"/>
            <w:noWrap/>
            <w:vAlign w:val="bottom"/>
            <w:hideMark/>
          </w:tcPr>
          <w:p w14:paraId="22CB0B06"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Paroplynové elektrárny (PPE)</w:t>
            </w:r>
          </w:p>
        </w:tc>
        <w:tc>
          <w:tcPr>
            <w:tcW w:w="800" w:type="dxa"/>
            <w:tcBorders>
              <w:top w:val="nil"/>
              <w:left w:val="nil"/>
              <w:bottom w:val="nil"/>
              <w:right w:val="nil"/>
            </w:tcBorders>
            <w:shd w:val="clear" w:color="000000" w:fill="FFFFFF"/>
            <w:noWrap/>
            <w:vAlign w:val="bottom"/>
            <w:hideMark/>
          </w:tcPr>
          <w:p w14:paraId="6272B580"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913,7</w:t>
            </w:r>
          </w:p>
        </w:tc>
        <w:tc>
          <w:tcPr>
            <w:tcW w:w="601" w:type="dxa"/>
            <w:tcBorders>
              <w:top w:val="nil"/>
              <w:left w:val="nil"/>
              <w:bottom w:val="nil"/>
              <w:right w:val="nil"/>
            </w:tcBorders>
            <w:shd w:val="clear" w:color="000000" w:fill="FFFFFF"/>
            <w:noWrap/>
            <w:vAlign w:val="bottom"/>
            <w:hideMark/>
          </w:tcPr>
          <w:p w14:paraId="65A9E4E9"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8%</w:t>
            </w:r>
            <w:proofErr w:type="gramEnd"/>
          </w:p>
        </w:tc>
      </w:tr>
      <w:tr w:rsidR="009F0A76" w:rsidRPr="008B689C" w14:paraId="2E896C1F" w14:textId="77777777" w:rsidTr="00DC715C">
        <w:trPr>
          <w:trHeight w:val="240"/>
        </w:trPr>
        <w:tc>
          <w:tcPr>
            <w:tcW w:w="4520" w:type="dxa"/>
            <w:tcBorders>
              <w:top w:val="nil"/>
              <w:left w:val="nil"/>
              <w:bottom w:val="nil"/>
              <w:right w:val="nil"/>
            </w:tcBorders>
            <w:shd w:val="clear" w:color="000000" w:fill="FFFFFF"/>
            <w:noWrap/>
            <w:vAlign w:val="bottom"/>
            <w:hideMark/>
          </w:tcPr>
          <w:p w14:paraId="71EA14F2"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Plynové a spalovací elektrárny (PSE)</w:t>
            </w:r>
          </w:p>
        </w:tc>
        <w:tc>
          <w:tcPr>
            <w:tcW w:w="800" w:type="dxa"/>
            <w:tcBorders>
              <w:top w:val="nil"/>
              <w:left w:val="nil"/>
              <w:bottom w:val="nil"/>
              <w:right w:val="nil"/>
            </w:tcBorders>
            <w:shd w:val="clear" w:color="000000" w:fill="FFFFFF"/>
            <w:noWrap/>
            <w:vAlign w:val="bottom"/>
            <w:hideMark/>
          </w:tcPr>
          <w:p w14:paraId="3C326CEB"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544,0</w:t>
            </w:r>
          </w:p>
        </w:tc>
        <w:tc>
          <w:tcPr>
            <w:tcW w:w="601" w:type="dxa"/>
            <w:tcBorders>
              <w:top w:val="nil"/>
              <w:left w:val="nil"/>
              <w:bottom w:val="nil"/>
              <w:right w:val="nil"/>
            </w:tcBorders>
            <w:shd w:val="clear" w:color="000000" w:fill="FFFFFF"/>
            <w:noWrap/>
            <w:vAlign w:val="bottom"/>
            <w:hideMark/>
          </w:tcPr>
          <w:p w14:paraId="75894783"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5%</w:t>
            </w:r>
            <w:proofErr w:type="gramEnd"/>
          </w:p>
        </w:tc>
      </w:tr>
      <w:tr w:rsidR="009F0A76" w:rsidRPr="008B689C" w14:paraId="3B1CDB83" w14:textId="77777777" w:rsidTr="00DC715C">
        <w:trPr>
          <w:trHeight w:val="240"/>
        </w:trPr>
        <w:tc>
          <w:tcPr>
            <w:tcW w:w="4520" w:type="dxa"/>
            <w:tcBorders>
              <w:top w:val="nil"/>
              <w:left w:val="nil"/>
              <w:bottom w:val="nil"/>
              <w:right w:val="nil"/>
            </w:tcBorders>
            <w:shd w:val="clear" w:color="000000" w:fill="FFFFFF"/>
            <w:noWrap/>
            <w:vAlign w:val="bottom"/>
            <w:hideMark/>
          </w:tcPr>
          <w:p w14:paraId="69059ABB"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Vodní elektrárny (VE)</w:t>
            </w:r>
          </w:p>
        </w:tc>
        <w:tc>
          <w:tcPr>
            <w:tcW w:w="800" w:type="dxa"/>
            <w:tcBorders>
              <w:top w:val="nil"/>
              <w:left w:val="nil"/>
              <w:bottom w:val="nil"/>
              <w:right w:val="nil"/>
            </w:tcBorders>
            <w:shd w:val="clear" w:color="000000" w:fill="FFFFFF"/>
            <w:noWrap/>
            <w:vAlign w:val="bottom"/>
            <w:hideMark/>
          </w:tcPr>
          <w:p w14:paraId="170DDDFD"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200,6</w:t>
            </w:r>
          </w:p>
        </w:tc>
        <w:tc>
          <w:tcPr>
            <w:tcW w:w="601" w:type="dxa"/>
            <w:tcBorders>
              <w:top w:val="nil"/>
              <w:left w:val="nil"/>
              <w:bottom w:val="nil"/>
              <w:right w:val="nil"/>
            </w:tcBorders>
            <w:shd w:val="clear" w:color="000000" w:fill="FFFFFF"/>
            <w:noWrap/>
            <w:vAlign w:val="bottom"/>
            <w:hideMark/>
          </w:tcPr>
          <w:p w14:paraId="0A09F586"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2%</w:t>
            </w:r>
            <w:proofErr w:type="gramEnd"/>
          </w:p>
        </w:tc>
      </w:tr>
      <w:tr w:rsidR="009F0A76" w:rsidRPr="008B689C" w14:paraId="48B1BDC2" w14:textId="77777777" w:rsidTr="00DC715C">
        <w:trPr>
          <w:trHeight w:val="240"/>
        </w:trPr>
        <w:tc>
          <w:tcPr>
            <w:tcW w:w="4520" w:type="dxa"/>
            <w:tcBorders>
              <w:top w:val="nil"/>
              <w:left w:val="nil"/>
              <w:bottom w:val="nil"/>
              <w:right w:val="nil"/>
            </w:tcBorders>
            <w:shd w:val="clear" w:color="000000" w:fill="FFFFFF"/>
            <w:noWrap/>
            <w:vAlign w:val="bottom"/>
            <w:hideMark/>
          </w:tcPr>
          <w:p w14:paraId="5D1E1584"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Přečerpávací vodní elektrárny (PVE)</w:t>
            </w:r>
          </w:p>
        </w:tc>
        <w:tc>
          <w:tcPr>
            <w:tcW w:w="800" w:type="dxa"/>
            <w:tcBorders>
              <w:top w:val="nil"/>
              <w:left w:val="nil"/>
              <w:bottom w:val="nil"/>
              <w:right w:val="nil"/>
            </w:tcBorders>
            <w:shd w:val="clear" w:color="000000" w:fill="FFFFFF"/>
            <w:noWrap/>
            <w:vAlign w:val="bottom"/>
            <w:hideMark/>
          </w:tcPr>
          <w:p w14:paraId="662C5C7E"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0,0</w:t>
            </w:r>
          </w:p>
        </w:tc>
        <w:tc>
          <w:tcPr>
            <w:tcW w:w="601" w:type="dxa"/>
            <w:tcBorders>
              <w:top w:val="nil"/>
              <w:left w:val="nil"/>
              <w:bottom w:val="nil"/>
              <w:right w:val="nil"/>
            </w:tcBorders>
            <w:shd w:val="clear" w:color="000000" w:fill="FFFFFF"/>
            <w:noWrap/>
            <w:vAlign w:val="bottom"/>
            <w:hideMark/>
          </w:tcPr>
          <w:p w14:paraId="4EE52B0F"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0%</w:t>
            </w:r>
            <w:proofErr w:type="gramEnd"/>
          </w:p>
        </w:tc>
      </w:tr>
      <w:tr w:rsidR="009F0A76" w:rsidRPr="008B689C" w14:paraId="7CAEF30C" w14:textId="77777777" w:rsidTr="00DC715C">
        <w:trPr>
          <w:trHeight w:val="240"/>
        </w:trPr>
        <w:tc>
          <w:tcPr>
            <w:tcW w:w="4520" w:type="dxa"/>
            <w:tcBorders>
              <w:top w:val="nil"/>
              <w:left w:val="nil"/>
              <w:bottom w:val="nil"/>
              <w:right w:val="nil"/>
            </w:tcBorders>
            <w:shd w:val="clear" w:color="000000" w:fill="FFFFFF"/>
            <w:noWrap/>
            <w:vAlign w:val="bottom"/>
            <w:hideMark/>
          </w:tcPr>
          <w:p w14:paraId="65C9971D" w14:textId="77777777" w:rsidR="009F0A76" w:rsidRPr="008B689C" w:rsidRDefault="009F0A76" w:rsidP="00DC715C">
            <w:pPr>
              <w:spacing w:after="0" w:line="240" w:lineRule="auto"/>
              <w:rPr>
                <w:rFonts w:eastAsia="Times New Roman" w:cstheme="minorHAnsi"/>
                <w:b/>
                <w:bCs/>
                <w:color w:val="EE0000"/>
                <w:kern w:val="0"/>
                <w:sz w:val="18"/>
                <w:szCs w:val="18"/>
                <w:lang w:eastAsia="cs-CZ"/>
              </w:rPr>
            </w:pPr>
            <w:r w:rsidRPr="008B689C">
              <w:rPr>
                <w:rFonts w:eastAsia="Times New Roman" w:cstheme="minorHAnsi"/>
                <w:b/>
                <w:bCs/>
                <w:color w:val="EE0000"/>
                <w:kern w:val="0"/>
                <w:sz w:val="18"/>
                <w:szCs w:val="18"/>
                <w:lang w:eastAsia="cs-CZ"/>
              </w:rPr>
              <w:t>Fotovoltaické elektrárny (FVE)</w:t>
            </w:r>
          </w:p>
        </w:tc>
        <w:tc>
          <w:tcPr>
            <w:tcW w:w="800" w:type="dxa"/>
            <w:tcBorders>
              <w:top w:val="nil"/>
              <w:left w:val="nil"/>
              <w:bottom w:val="nil"/>
              <w:right w:val="nil"/>
            </w:tcBorders>
            <w:shd w:val="clear" w:color="000000" w:fill="FFFFFF"/>
            <w:noWrap/>
            <w:vAlign w:val="bottom"/>
            <w:hideMark/>
          </w:tcPr>
          <w:p w14:paraId="01B712FF" w14:textId="77777777" w:rsidR="009F0A76" w:rsidRPr="008B689C" w:rsidRDefault="009F0A76" w:rsidP="00DC715C">
            <w:pPr>
              <w:spacing w:after="0" w:line="240" w:lineRule="auto"/>
              <w:jc w:val="right"/>
              <w:rPr>
                <w:rFonts w:eastAsia="Times New Roman" w:cstheme="minorHAnsi"/>
                <w:b/>
                <w:bCs/>
                <w:color w:val="EE0000"/>
                <w:kern w:val="0"/>
                <w:sz w:val="18"/>
                <w:szCs w:val="18"/>
                <w:lang w:eastAsia="cs-CZ"/>
              </w:rPr>
            </w:pPr>
            <w:r w:rsidRPr="008B689C">
              <w:rPr>
                <w:rFonts w:eastAsia="Times New Roman" w:cstheme="minorHAnsi"/>
                <w:b/>
                <w:bCs/>
                <w:color w:val="EE0000"/>
                <w:kern w:val="0"/>
                <w:sz w:val="18"/>
                <w:szCs w:val="18"/>
                <w:lang w:eastAsia="cs-CZ"/>
              </w:rPr>
              <w:t>836,5</w:t>
            </w:r>
          </w:p>
        </w:tc>
        <w:tc>
          <w:tcPr>
            <w:tcW w:w="601" w:type="dxa"/>
            <w:tcBorders>
              <w:top w:val="nil"/>
              <w:left w:val="nil"/>
              <w:bottom w:val="nil"/>
              <w:right w:val="nil"/>
            </w:tcBorders>
            <w:shd w:val="clear" w:color="000000" w:fill="FFFFFF"/>
            <w:noWrap/>
            <w:vAlign w:val="bottom"/>
            <w:hideMark/>
          </w:tcPr>
          <w:p w14:paraId="676083D8" w14:textId="77777777" w:rsidR="009F0A76" w:rsidRPr="008B689C" w:rsidRDefault="009F0A76" w:rsidP="00DC715C">
            <w:pPr>
              <w:spacing w:after="0" w:line="240" w:lineRule="auto"/>
              <w:jc w:val="right"/>
              <w:rPr>
                <w:rFonts w:eastAsia="Times New Roman" w:cstheme="minorHAnsi"/>
                <w:b/>
                <w:bCs/>
                <w:color w:val="EE0000"/>
                <w:kern w:val="0"/>
                <w:sz w:val="18"/>
                <w:szCs w:val="18"/>
                <w:lang w:eastAsia="cs-CZ"/>
              </w:rPr>
            </w:pPr>
            <w:proofErr w:type="gramStart"/>
            <w:r w:rsidRPr="008B689C">
              <w:rPr>
                <w:rFonts w:eastAsia="Times New Roman" w:cstheme="minorHAnsi"/>
                <w:b/>
                <w:bCs/>
                <w:color w:val="EE0000"/>
                <w:kern w:val="0"/>
                <w:sz w:val="18"/>
                <w:szCs w:val="18"/>
                <w:lang w:eastAsia="cs-CZ"/>
              </w:rPr>
              <w:t>7%</w:t>
            </w:r>
            <w:proofErr w:type="gramEnd"/>
          </w:p>
        </w:tc>
      </w:tr>
      <w:tr w:rsidR="009F0A76" w:rsidRPr="008B689C" w14:paraId="6496A462" w14:textId="77777777" w:rsidTr="00DC715C">
        <w:trPr>
          <w:trHeight w:val="240"/>
        </w:trPr>
        <w:tc>
          <w:tcPr>
            <w:tcW w:w="4520" w:type="dxa"/>
            <w:tcBorders>
              <w:top w:val="nil"/>
              <w:left w:val="nil"/>
              <w:bottom w:val="nil"/>
              <w:right w:val="nil"/>
            </w:tcBorders>
            <w:shd w:val="clear" w:color="000000" w:fill="FFFFFF"/>
            <w:noWrap/>
            <w:vAlign w:val="bottom"/>
            <w:hideMark/>
          </w:tcPr>
          <w:p w14:paraId="5EAF14AF" w14:textId="77777777" w:rsidR="009F0A76" w:rsidRPr="008B689C" w:rsidRDefault="009F0A76" w:rsidP="00DC715C">
            <w:pPr>
              <w:spacing w:after="0" w:line="240" w:lineRule="auto"/>
              <w:rPr>
                <w:rFonts w:eastAsia="Times New Roman" w:cstheme="minorHAnsi"/>
                <w:b/>
                <w:bCs/>
                <w:color w:val="EE0000"/>
                <w:kern w:val="0"/>
                <w:sz w:val="18"/>
                <w:szCs w:val="18"/>
                <w:lang w:eastAsia="cs-CZ"/>
              </w:rPr>
            </w:pPr>
            <w:r w:rsidRPr="008B689C">
              <w:rPr>
                <w:rFonts w:eastAsia="Times New Roman" w:cstheme="minorHAnsi"/>
                <w:b/>
                <w:bCs/>
                <w:color w:val="EE0000"/>
                <w:kern w:val="0"/>
                <w:sz w:val="18"/>
                <w:szCs w:val="18"/>
                <w:lang w:eastAsia="cs-CZ"/>
              </w:rPr>
              <w:t>Větrné elektrárny (VTE)</w:t>
            </w:r>
          </w:p>
        </w:tc>
        <w:tc>
          <w:tcPr>
            <w:tcW w:w="800" w:type="dxa"/>
            <w:tcBorders>
              <w:top w:val="nil"/>
              <w:left w:val="nil"/>
              <w:bottom w:val="nil"/>
              <w:right w:val="nil"/>
            </w:tcBorders>
            <w:shd w:val="clear" w:color="000000" w:fill="FFFFFF"/>
            <w:noWrap/>
            <w:vAlign w:val="bottom"/>
            <w:hideMark/>
          </w:tcPr>
          <w:p w14:paraId="7DB96B31" w14:textId="77777777" w:rsidR="009F0A76" w:rsidRPr="008B689C" w:rsidRDefault="009F0A76" w:rsidP="00DC715C">
            <w:pPr>
              <w:spacing w:after="0" w:line="240" w:lineRule="auto"/>
              <w:jc w:val="right"/>
              <w:rPr>
                <w:rFonts w:eastAsia="Times New Roman" w:cstheme="minorHAnsi"/>
                <w:b/>
                <w:bCs/>
                <w:color w:val="EE0000"/>
                <w:kern w:val="0"/>
                <w:sz w:val="18"/>
                <w:szCs w:val="18"/>
                <w:lang w:eastAsia="cs-CZ"/>
              </w:rPr>
            </w:pPr>
            <w:r w:rsidRPr="008B689C">
              <w:rPr>
                <w:rFonts w:eastAsia="Times New Roman" w:cstheme="minorHAnsi"/>
                <w:b/>
                <w:bCs/>
                <w:color w:val="EE0000"/>
                <w:kern w:val="0"/>
                <w:sz w:val="18"/>
                <w:szCs w:val="18"/>
                <w:lang w:eastAsia="cs-CZ"/>
              </w:rPr>
              <w:t>29,0</w:t>
            </w:r>
          </w:p>
        </w:tc>
        <w:tc>
          <w:tcPr>
            <w:tcW w:w="601" w:type="dxa"/>
            <w:tcBorders>
              <w:top w:val="nil"/>
              <w:left w:val="nil"/>
              <w:bottom w:val="nil"/>
              <w:right w:val="nil"/>
            </w:tcBorders>
            <w:shd w:val="clear" w:color="000000" w:fill="FFFFFF"/>
            <w:noWrap/>
            <w:vAlign w:val="bottom"/>
            <w:hideMark/>
          </w:tcPr>
          <w:p w14:paraId="4D522D0A" w14:textId="77777777" w:rsidR="009F0A76" w:rsidRPr="008B689C" w:rsidRDefault="009F0A76" w:rsidP="00DC715C">
            <w:pPr>
              <w:spacing w:after="0" w:line="240" w:lineRule="auto"/>
              <w:jc w:val="right"/>
              <w:rPr>
                <w:rFonts w:eastAsia="Times New Roman" w:cstheme="minorHAnsi"/>
                <w:b/>
                <w:bCs/>
                <w:color w:val="EE0000"/>
                <w:kern w:val="0"/>
                <w:sz w:val="18"/>
                <w:szCs w:val="18"/>
                <w:lang w:eastAsia="cs-CZ"/>
              </w:rPr>
            </w:pPr>
            <w:proofErr w:type="gramStart"/>
            <w:r w:rsidRPr="008B689C">
              <w:rPr>
                <w:rFonts w:eastAsia="Times New Roman" w:cstheme="minorHAnsi"/>
                <w:b/>
                <w:bCs/>
                <w:color w:val="EE0000"/>
                <w:kern w:val="0"/>
                <w:sz w:val="18"/>
                <w:szCs w:val="18"/>
                <w:lang w:eastAsia="cs-CZ"/>
              </w:rPr>
              <w:t>0%</w:t>
            </w:r>
            <w:proofErr w:type="gramEnd"/>
          </w:p>
        </w:tc>
      </w:tr>
      <w:tr w:rsidR="009F0A76" w:rsidRPr="008B689C" w14:paraId="66ACA01D" w14:textId="77777777" w:rsidTr="00DC715C">
        <w:trPr>
          <w:trHeight w:val="240"/>
        </w:trPr>
        <w:tc>
          <w:tcPr>
            <w:tcW w:w="4520" w:type="dxa"/>
            <w:tcBorders>
              <w:top w:val="nil"/>
              <w:left w:val="nil"/>
              <w:bottom w:val="nil"/>
              <w:right w:val="nil"/>
            </w:tcBorders>
            <w:shd w:val="clear" w:color="000000" w:fill="FFFFFF"/>
            <w:noWrap/>
            <w:vAlign w:val="bottom"/>
            <w:hideMark/>
          </w:tcPr>
          <w:p w14:paraId="022D35F2"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Přeshraniční saldo</w:t>
            </w:r>
          </w:p>
        </w:tc>
        <w:tc>
          <w:tcPr>
            <w:tcW w:w="800" w:type="dxa"/>
            <w:tcBorders>
              <w:top w:val="nil"/>
              <w:left w:val="nil"/>
              <w:bottom w:val="nil"/>
              <w:right w:val="nil"/>
            </w:tcBorders>
            <w:shd w:val="clear" w:color="000000" w:fill="FFFFFF"/>
            <w:noWrap/>
            <w:vAlign w:val="bottom"/>
            <w:hideMark/>
          </w:tcPr>
          <w:p w14:paraId="1B7B3F70"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-1 209,4</w:t>
            </w:r>
          </w:p>
        </w:tc>
        <w:tc>
          <w:tcPr>
            <w:tcW w:w="601" w:type="dxa"/>
            <w:tcBorders>
              <w:top w:val="nil"/>
              <w:left w:val="nil"/>
              <w:bottom w:val="nil"/>
              <w:right w:val="nil"/>
            </w:tcBorders>
            <w:shd w:val="clear" w:color="000000" w:fill="FFFFFF"/>
            <w:noWrap/>
            <w:vAlign w:val="bottom"/>
            <w:hideMark/>
          </w:tcPr>
          <w:p w14:paraId="623D59D8"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w:t>
            </w:r>
            <w:proofErr w:type="gramStart"/>
            <w:r w:rsidRPr="008B689C">
              <w:rPr>
                <w:rFonts w:eastAsia="Times New Roman" w:cstheme="minorHAnsi"/>
                <w:kern w:val="0"/>
                <w:sz w:val="18"/>
                <w:szCs w:val="18"/>
                <w:lang w:eastAsia="cs-CZ"/>
              </w:rPr>
              <w:t>11%</w:t>
            </w:r>
            <w:proofErr w:type="gramEnd"/>
          </w:p>
        </w:tc>
      </w:tr>
      <w:tr w:rsidR="009F0A76" w:rsidRPr="008B689C" w14:paraId="19219EE4" w14:textId="77777777" w:rsidTr="00DC715C">
        <w:trPr>
          <w:trHeight w:val="240"/>
        </w:trPr>
        <w:tc>
          <w:tcPr>
            <w:tcW w:w="4520" w:type="dxa"/>
            <w:tcBorders>
              <w:top w:val="nil"/>
              <w:left w:val="nil"/>
              <w:bottom w:val="single" w:sz="4" w:space="0" w:color="auto"/>
              <w:right w:val="nil"/>
            </w:tcBorders>
            <w:shd w:val="clear" w:color="000000" w:fill="FFFFFF"/>
            <w:noWrap/>
            <w:vAlign w:val="bottom"/>
            <w:hideMark/>
          </w:tcPr>
          <w:p w14:paraId="078760EA" w14:textId="77777777" w:rsidR="009F0A76" w:rsidRPr="008B689C" w:rsidRDefault="009F0A76" w:rsidP="00DC715C">
            <w:pPr>
              <w:spacing w:after="0" w:line="240" w:lineRule="auto"/>
              <w:rPr>
                <w:rFonts w:eastAsia="Times New Roman" w:cstheme="minorHAnsi"/>
                <w:kern w:val="0"/>
                <w:sz w:val="18"/>
                <w:szCs w:val="18"/>
                <w:lang w:eastAsia="cs-CZ"/>
              </w:rPr>
            </w:pPr>
            <w:r w:rsidRPr="008B689C">
              <w:rPr>
                <w:rFonts w:eastAsia="Times New Roman" w:cstheme="minorHAnsi"/>
                <w:kern w:val="0"/>
                <w:sz w:val="18"/>
                <w:szCs w:val="18"/>
                <w:lang w:eastAsia="cs-CZ"/>
              </w:rPr>
              <w:t>Čerpání PVE</w:t>
            </w:r>
          </w:p>
        </w:tc>
        <w:tc>
          <w:tcPr>
            <w:tcW w:w="800" w:type="dxa"/>
            <w:tcBorders>
              <w:top w:val="nil"/>
              <w:left w:val="nil"/>
              <w:bottom w:val="single" w:sz="4" w:space="0" w:color="auto"/>
              <w:right w:val="nil"/>
            </w:tcBorders>
            <w:shd w:val="clear" w:color="000000" w:fill="FFFFFF"/>
            <w:noWrap/>
            <w:vAlign w:val="bottom"/>
            <w:hideMark/>
          </w:tcPr>
          <w:p w14:paraId="6F9DA574" w14:textId="77777777" w:rsidR="009F0A76" w:rsidRPr="008B689C" w:rsidRDefault="009F0A76" w:rsidP="00DC715C">
            <w:pPr>
              <w:spacing w:after="0" w:line="240" w:lineRule="auto"/>
              <w:jc w:val="right"/>
              <w:rPr>
                <w:rFonts w:eastAsia="Times New Roman" w:cstheme="minorHAnsi"/>
                <w:kern w:val="0"/>
                <w:sz w:val="18"/>
                <w:szCs w:val="18"/>
                <w:lang w:eastAsia="cs-CZ"/>
              </w:rPr>
            </w:pPr>
            <w:r w:rsidRPr="008B689C">
              <w:rPr>
                <w:rFonts w:eastAsia="Times New Roman" w:cstheme="minorHAnsi"/>
                <w:kern w:val="0"/>
                <w:sz w:val="18"/>
                <w:szCs w:val="18"/>
                <w:lang w:eastAsia="cs-CZ"/>
              </w:rPr>
              <w:t>0,0</w:t>
            </w:r>
          </w:p>
        </w:tc>
        <w:tc>
          <w:tcPr>
            <w:tcW w:w="601" w:type="dxa"/>
            <w:tcBorders>
              <w:top w:val="nil"/>
              <w:left w:val="nil"/>
              <w:bottom w:val="single" w:sz="4" w:space="0" w:color="auto"/>
              <w:right w:val="nil"/>
            </w:tcBorders>
            <w:shd w:val="clear" w:color="000000" w:fill="FFFFFF"/>
            <w:noWrap/>
            <w:vAlign w:val="bottom"/>
            <w:hideMark/>
          </w:tcPr>
          <w:p w14:paraId="0DE1590A" w14:textId="77777777" w:rsidR="009F0A76" w:rsidRPr="008B689C" w:rsidRDefault="009F0A76" w:rsidP="00DC715C">
            <w:pPr>
              <w:spacing w:after="0" w:line="240" w:lineRule="auto"/>
              <w:jc w:val="right"/>
              <w:rPr>
                <w:rFonts w:eastAsia="Times New Roman" w:cstheme="minorHAnsi"/>
                <w:kern w:val="0"/>
                <w:sz w:val="18"/>
                <w:szCs w:val="18"/>
                <w:lang w:eastAsia="cs-CZ"/>
              </w:rPr>
            </w:pPr>
            <w:proofErr w:type="gramStart"/>
            <w:r w:rsidRPr="008B689C">
              <w:rPr>
                <w:rFonts w:eastAsia="Times New Roman" w:cstheme="minorHAnsi"/>
                <w:kern w:val="0"/>
                <w:sz w:val="18"/>
                <w:szCs w:val="18"/>
                <w:lang w:eastAsia="cs-CZ"/>
              </w:rPr>
              <w:t>0%</w:t>
            </w:r>
            <w:proofErr w:type="gramEnd"/>
          </w:p>
        </w:tc>
      </w:tr>
    </w:tbl>
    <w:p w14:paraId="2F01ABBC" w14:textId="77777777" w:rsidR="009F0A76" w:rsidRDefault="009F0A76"/>
    <w:p w14:paraId="4CB2C4E6" w14:textId="77777777" w:rsidR="009F0A76" w:rsidRDefault="009F0A76" w:rsidP="009F0A76">
      <w:r>
        <w:t xml:space="preserve">Stoupenci přerušovaných a na povětrnosti a slunečním svitu závislých solárních a větrných zdrojů vždy hovoří o ročních bilancích. Ty samozřejmě deformuje zejména letní a vzájemně se kanibalizující a na trhu neuplatnitelná nadvýroba, která se zvyšuje s rostoucí instalovanou kapacitou OZE. Jestliže spotřebitelé dokonce dostávají za odběr takové elektřiny peníze (záporná cena elektřiny), v kontextu tohoto faktu se mluví o „odpadní“ elektřině. To samozřejmě devastuje nejen solární zdroje, ale celý energetický sektor deformovaný dotační rakovinou k tomu, že mizí ochota do něj dlouhodobě investovat. Pak musí nastoupit stát jako garant návratnosti investičně nejnáročnější, ale posléze nejefektivnější dekarbonizované výroby elektřiny z jaderné energie. Ovšem stále platí, že v každém okamžiku se výroba musí rovnat spotřebě a vice versa. </w:t>
      </w:r>
    </w:p>
    <w:p w14:paraId="0138852C" w14:textId="77777777" w:rsidR="009F0A76" w:rsidRDefault="009F0A76" w:rsidP="009F0A76">
      <w:r>
        <w:t xml:space="preserve">Následující graf ukazuje měření zatížení ES po čtvrthodinách. Jak vidno, v prvním čtvrtletí roku 2025 bylo dominantní zatížení ES mezi 8000 MW až 10 000 MW. </w:t>
      </w:r>
      <w:r w:rsidRPr="009E553D">
        <w:t xml:space="preserve">Nejvyšší </w:t>
      </w:r>
      <w:r>
        <w:t xml:space="preserve">dosavadní </w:t>
      </w:r>
      <w:r w:rsidRPr="009E553D">
        <w:t xml:space="preserve">zatížení ES </w:t>
      </w:r>
      <w:r>
        <w:t xml:space="preserve">v roce 2025 </w:t>
      </w:r>
      <w:r w:rsidRPr="009E553D">
        <w:t xml:space="preserve">bylo naměřeno 19. února s 11 718 MW. </w:t>
      </w:r>
    </w:p>
    <w:p w14:paraId="49D3DF1B" w14:textId="77777777" w:rsidR="003B48FB" w:rsidRDefault="003B48FB" w:rsidP="009F0A76">
      <w:pPr>
        <w:rPr>
          <w:b/>
          <w:bCs/>
        </w:rPr>
      </w:pPr>
    </w:p>
    <w:p w14:paraId="38C21D44" w14:textId="77777777" w:rsidR="003B48FB" w:rsidRDefault="003B48FB" w:rsidP="009F0A76">
      <w:pPr>
        <w:rPr>
          <w:b/>
          <w:bCs/>
        </w:rPr>
      </w:pPr>
    </w:p>
    <w:p w14:paraId="7059A5C0" w14:textId="6022F948" w:rsidR="009F0A76" w:rsidRPr="00003A0B" w:rsidRDefault="009F0A76" w:rsidP="009F0A76">
      <w:pPr>
        <w:rPr>
          <w:b/>
          <w:bCs/>
        </w:rPr>
      </w:pPr>
      <w:r w:rsidRPr="00003A0B">
        <w:rPr>
          <w:b/>
          <w:bCs/>
        </w:rPr>
        <w:t>Graf: Zatížení ES (brutto) během 1. čtvrtletí 2025 po čtvrthodinách</w:t>
      </w:r>
    </w:p>
    <w:p w14:paraId="3A389C81" w14:textId="77777777" w:rsidR="009F0A76" w:rsidRDefault="009F0A76" w:rsidP="009F0A76">
      <w:r>
        <w:rPr>
          <w:noProof/>
        </w:rPr>
        <w:drawing>
          <wp:inline distT="0" distB="0" distL="0" distR="0" wp14:anchorId="221CFF22" wp14:editId="4D7489F3">
            <wp:extent cx="3462035" cy="1453581"/>
            <wp:effectExtent l="0" t="0" r="5080" b="0"/>
            <wp:docPr id="1980929691" name="Graf 1">
              <a:extLst xmlns:a="http://schemas.openxmlformats.org/drawingml/2006/main">
                <a:ext uri="{FF2B5EF4-FFF2-40B4-BE49-F238E27FC236}">
                  <a16:creationId xmlns:a16="http://schemas.microsoft.com/office/drawing/2014/main" id="{00000000-0008-0000-2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D8D981" w14:textId="77777777" w:rsidR="009F0A76" w:rsidRDefault="009F0A76" w:rsidP="009F0A76">
      <w:r>
        <w:t>Zdroj: ERÚ</w:t>
      </w:r>
    </w:p>
    <w:p w14:paraId="7257ADCB" w14:textId="77777777" w:rsidR="009F0A76" w:rsidRDefault="009F0A76" w:rsidP="009F0A76">
      <w:pPr>
        <w:rPr>
          <w:b/>
          <w:bCs/>
          <w:i/>
          <w:iCs/>
          <w:sz w:val="24"/>
          <w:szCs w:val="24"/>
        </w:rPr>
      </w:pPr>
      <w:r>
        <w:rPr>
          <w:b/>
          <w:bCs/>
          <w:i/>
          <w:iCs/>
          <w:sz w:val="24"/>
          <w:szCs w:val="24"/>
        </w:rPr>
        <w:t>Česká energetická politika postavená na amatérské a nekvalifikované studii modelů SEEPIA, kterou rozcupovala oponentní analýza vědců z ČVUT</w:t>
      </w:r>
    </w:p>
    <w:p w14:paraId="28B34793" w14:textId="77777777" w:rsidR="009F0A76" w:rsidRDefault="009F0A76" w:rsidP="009F0A76">
      <w:r w:rsidRPr="00F43851">
        <w:t>Ignorování ztrát v síti i požadavků na výkonovou rezervu, rozpory s oficiálními daty, či nadhodnocování využití obnovitelných zdrojů energie. Těmito a dalšími neduhy trpí tzv. model SEEPIA, z nějž vychází nově připravovaná Státní energetická koncepce (SEK).</w:t>
      </w:r>
      <w:r>
        <w:t xml:space="preserve"> Konstatuje se to v </w:t>
      </w:r>
      <w:r w:rsidRPr="00F43851">
        <w:t>analýz</w:t>
      </w:r>
      <w:r>
        <w:t>e</w:t>
      </w:r>
      <w:r w:rsidRPr="00F43851">
        <w:t>, kterou pro ministerstvo financí zpracovali experti z</w:t>
      </w:r>
      <w:r>
        <w:t> </w:t>
      </w:r>
      <w:r w:rsidRPr="00F43851">
        <w:t>ČVUT</w:t>
      </w:r>
      <w:r>
        <w:t>, mj. p</w:t>
      </w:r>
      <w:r w:rsidRPr="00F43851">
        <w:t>rof. Ing. František Hrdlička, CSc., FS ČVUT</w:t>
      </w:r>
      <w:r>
        <w:t xml:space="preserve"> a d</w:t>
      </w:r>
      <w:r w:rsidRPr="00F43851">
        <w:t>oc. Ing. Lubomír Lízal, PhD., FEL ČVUT</w:t>
      </w:r>
      <w:r>
        <w:t xml:space="preserve">. </w:t>
      </w:r>
      <w:r w:rsidRPr="00F43851">
        <w:t>Příslušní ministři o závěrech z ní vyplývajících mlžili, jejich úřady se zveřejnění materiálu vyhýbaly.</w:t>
      </w:r>
      <w:r>
        <w:t xml:space="preserve"> </w:t>
      </w:r>
      <w:r w:rsidRPr="00745302">
        <w:t>Platforma Vysoké napětí ji nyní získala</w:t>
      </w:r>
      <w:r>
        <w:t xml:space="preserve"> a zveřejnila na webu </w:t>
      </w:r>
      <w:hyperlink r:id="rId12" w:history="1">
        <w:r w:rsidRPr="00C33EF7">
          <w:rPr>
            <w:rStyle w:val="Hypertextovodkaz"/>
          </w:rPr>
          <w:t>https://www.datarun.cz/zazdena-studie-cvut-stat-planuje-energetiku-podle-modelu-ktery-by-neobstal-ani-jako-bakalarka</w:t>
        </w:r>
      </w:hyperlink>
      <w:r>
        <w:t>.</w:t>
      </w:r>
    </w:p>
    <w:p w14:paraId="5D86085D" w14:textId="00CD8B94" w:rsidR="00CF7C70" w:rsidRDefault="009F0A76" w:rsidP="009F0A76">
      <w:r w:rsidRPr="00F43851">
        <w:t>„Vzhledem k problémům definičním a chybám v užití dat by dokument při korektním oponentním řízení vlastně neobstál ani jako kvalifikační magisterská či bakalářská práce na veřejné vysoké škole, protože nerespektuje zavedené oborové přístupy a definice,“ konstatují autoři analýzy.</w:t>
      </w:r>
      <w:r>
        <w:t xml:space="preserve"> </w:t>
      </w:r>
      <w:r w:rsidRPr="00F43851">
        <w:t>Tým z ČVUT se zabýval i disponibilitou stabilního výkonu v nejzatíženější zimní části roku a schopností pokrýt maximální zatížení. Na rozdíl od modelu SEEPIA dospívá k názoru, že bez uhlí v roce 2030 bude soustavě při delší „</w:t>
      </w:r>
      <w:proofErr w:type="spellStart"/>
      <w:r w:rsidRPr="00F43851">
        <w:t>Dunkelflaute</w:t>
      </w:r>
      <w:proofErr w:type="spellEnd"/>
      <w:r w:rsidRPr="00F43851">
        <w:t>“ chybět minimálně 2 500 MW. Přitom upozorňuje na to, že deficit bude ve skutečnosti vyšší, protože některé zdroje mohou být v odstávce a jiné vyčleněny na služby výkonové rovnováhy.</w:t>
      </w:r>
      <w:r>
        <w:t xml:space="preserve"> </w:t>
      </w:r>
      <w:r w:rsidRPr="00F43851">
        <w:t>„Pravděpodobnost, že všechny instalované stabilní zdroje budou plně k dispozici a se jmenovitým výkonem je prakticky nulová. Z tohoto důvodu je nezbytné mít k dispozici v soustavě vyšší výkon</w:t>
      </w:r>
      <w:r>
        <w:t>,</w:t>
      </w:r>
      <w:r w:rsidRPr="00F43851">
        <w:t xml:space="preserve"> a to přibližně o dvacet procent,“ doporučuje zpráva.</w:t>
      </w:r>
      <w:r>
        <w:t xml:space="preserve"> </w:t>
      </w:r>
      <w:r>
        <w:br/>
      </w:r>
    </w:p>
    <w:p w14:paraId="1955E5FC" w14:textId="1284F8CD" w:rsidR="009F0A76" w:rsidRPr="003B48FB" w:rsidRDefault="003B48FB" w:rsidP="003B48FB">
      <w:pPr>
        <w:rPr>
          <w:b/>
          <w:bCs/>
        </w:rPr>
      </w:pPr>
      <w:r w:rsidRPr="003B48FB">
        <w:rPr>
          <w:b/>
          <w:bCs/>
        </w:rPr>
        <w:t>PhDr. Milan Smutný</w:t>
      </w:r>
    </w:p>
    <w:sectPr w:rsidR="009F0A76" w:rsidRPr="003B48F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B54E" w14:textId="77777777" w:rsidR="006B4988" w:rsidRDefault="006B4988">
      <w:pPr>
        <w:spacing w:after="0" w:line="240" w:lineRule="auto"/>
      </w:pPr>
      <w:r>
        <w:separator/>
      </w:r>
    </w:p>
  </w:endnote>
  <w:endnote w:type="continuationSeparator" w:id="0">
    <w:p w14:paraId="360B01B7" w14:textId="77777777" w:rsidR="006B4988" w:rsidRDefault="006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D758" w14:textId="77777777" w:rsidR="006B4988" w:rsidRDefault="006B4988">
      <w:pPr>
        <w:spacing w:after="0" w:line="240" w:lineRule="auto"/>
      </w:pPr>
      <w:r>
        <w:rPr>
          <w:color w:val="000000"/>
        </w:rPr>
        <w:separator/>
      </w:r>
    </w:p>
  </w:footnote>
  <w:footnote w:type="continuationSeparator" w:id="0">
    <w:p w14:paraId="2D9F8D88" w14:textId="77777777" w:rsidR="006B4988" w:rsidRDefault="006B4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70"/>
    <w:rsid w:val="003B48FB"/>
    <w:rsid w:val="004175C0"/>
    <w:rsid w:val="006B4988"/>
    <w:rsid w:val="009F0A76"/>
    <w:rsid w:val="00A528A0"/>
    <w:rsid w:val="00CF7C70"/>
    <w:rsid w:val="00FF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0853"/>
  <w15:docId w15:val="{63B621A5-EA87-4ABE-BB67-C5CBEEB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keepLines/>
      <w:spacing w:before="360" w:after="80"/>
      <w:outlineLvl w:val="0"/>
    </w:pPr>
    <w:rPr>
      <w:rFonts w:ascii="Calibri Light" w:eastAsia="Times New Roman" w:hAnsi="Calibri Light"/>
      <w:color w:val="2F5496"/>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dpis3">
    <w:name w:val="heading 3"/>
    <w:basedOn w:val="Normln"/>
    <w:next w:val="Normln"/>
    <w:uiPriority w:val="9"/>
    <w:semiHidden/>
    <w:unhideWhenUsed/>
    <w:qFormat/>
    <w:pPr>
      <w:keepNext/>
      <w:keepLines/>
      <w:spacing w:before="160" w:after="80"/>
      <w:outlineLvl w:val="2"/>
    </w:pPr>
    <w:rPr>
      <w:rFonts w:eastAsia="Times New Roman"/>
      <w:color w:val="2F5496"/>
      <w:sz w:val="28"/>
      <w:szCs w:val="28"/>
    </w:rPr>
  </w:style>
  <w:style w:type="paragraph" w:styleId="Nadpis4">
    <w:name w:val="heading 4"/>
    <w:basedOn w:val="Normln"/>
    <w:next w:val="Normln"/>
    <w:uiPriority w:val="9"/>
    <w:semiHidden/>
    <w:unhideWhenUsed/>
    <w:qFormat/>
    <w:pPr>
      <w:keepNext/>
      <w:keepLines/>
      <w:spacing w:before="80" w:after="40"/>
      <w:outlineLvl w:val="3"/>
    </w:pPr>
    <w:rPr>
      <w:rFonts w:eastAsia="Times New Roman"/>
      <w:i/>
      <w:iCs/>
      <w:color w:val="2F5496"/>
    </w:rPr>
  </w:style>
  <w:style w:type="paragraph" w:styleId="Nadpis5">
    <w:name w:val="heading 5"/>
    <w:basedOn w:val="Normln"/>
    <w:next w:val="Normln"/>
    <w:uiPriority w:val="9"/>
    <w:semiHidden/>
    <w:unhideWhenUsed/>
    <w:qFormat/>
    <w:pPr>
      <w:keepNext/>
      <w:keepLines/>
      <w:spacing w:before="80" w:after="40"/>
      <w:outlineLvl w:val="4"/>
    </w:pPr>
    <w:rPr>
      <w:rFonts w:eastAsia="Times New Roman"/>
      <w:color w:val="2F5496"/>
    </w:rPr>
  </w:style>
  <w:style w:type="paragraph" w:styleId="Nadpis6">
    <w:name w:val="heading 6"/>
    <w:basedOn w:val="Normln"/>
    <w:next w:val="Normln"/>
    <w:uiPriority w:val="9"/>
    <w:semiHidden/>
    <w:unhideWhenUsed/>
    <w:qFormat/>
    <w:pPr>
      <w:keepNext/>
      <w:keepLines/>
      <w:spacing w:before="40" w:after="0"/>
      <w:outlineLvl w:val="5"/>
    </w:pPr>
    <w:rPr>
      <w:rFonts w:eastAsia="Times New Roman"/>
      <w:i/>
      <w:iCs/>
      <w:color w:val="595959"/>
    </w:rPr>
  </w:style>
  <w:style w:type="paragraph" w:styleId="Nadpis7">
    <w:name w:val="heading 7"/>
    <w:basedOn w:val="Normln"/>
    <w:next w:val="Normln"/>
    <w:pPr>
      <w:keepNext/>
      <w:keepLines/>
      <w:spacing w:before="40" w:after="0"/>
      <w:outlineLvl w:val="6"/>
    </w:pPr>
    <w:rPr>
      <w:rFonts w:eastAsia="Times New Roman"/>
      <w:color w:val="595959"/>
    </w:rPr>
  </w:style>
  <w:style w:type="paragraph" w:styleId="Nadpis8">
    <w:name w:val="heading 8"/>
    <w:basedOn w:val="Normln"/>
    <w:next w:val="Normln"/>
    <w:pPr>
      <w:keepNext/>
      <w:keepLines/>
      <w:spacing w:after="0"/>
      <w:outlineLvl w:val="7"/>
    </w:pPr>
    <w:rPr>
      <w:rFonts w:eastAsia="Times New Roman"/>
      <w:i/>
      <w:iCs/>
      <w:color w:val="272727"/>
    </w:rPr>
  </w:style>
  <w:style w:type="paragraph" w:styleId="Nadpis9">
    <w:name w:val="heading 9"/>
    <w:basedOn w:val="Normln"/>
    <w:next w:val="Normln"/>
    <w:pPr>
      <w:keepNext/>
      <w:keepLines/>
      <w:spacing w:after="0"/>
      <w:outlineLvl w:val="8"/>
    </w:pPr>
    <w:rPr>
      <w:rFonts w:eastAsia="Times New Roman"/>
      <w:color w:val="272727"/>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Calibri Light" w:eastAsia="Times New Roman" w:hAnsi="Calibri Light" w:cs="Times New Roman"/>
      <w:color w:val="2F5496"/>
      <w:sz w:val="40"/>
      <w:szCs w:val="40"/>
    </w:rPr>
  </w:style>
  <w:style w:type="character" w:customStyle="1" w:styleId="Nadpis2Char">
    <w:name w:val="Nadpis 2 Char"/>
    <w:basedOn w:val="Standardnpsmoodstavce"/>
    <w:rPr>
      <w:rFonts w:ascii="Calibri Light" w:eastAsia="Times New Roman" w:hAnsi="Calibri Light" w:cs="Times New Roman"/>
      <w:color w:val="2F5496"/>
      <w:sz w:val="32"/>
      <w:szCs w:val="32"/>
    </w:rPr>
  </w:style>
  <w:style w:type="character" w:customStyle="1" w:styleId="Nadpis3Char">
    <w:name w:val="Nadpis 3 Char"/>
    <w:basedOn w:val="Standardnpsmoodstavce"/>
    <w:rPr>
      <w:rFonts w:eastAsia="Times New Roman" w:cs="Times New Roman"/>
      <w:color w:val="2F5496"/>
      <w:sz w:val="28"/>
      <w:szCs w:val="28"/>
    </w:rPr>
  </w:style>
  <w:style w:type="character" w:customStyle="1" w:styleId="Nadpis4Char">
    <w:name w:val="Nadpis 4 Char"/>
    <w:basedOn w:val="Standardnpsmoodstavce"/>
    <w:rPr>
      <w:rFonts w:eastAsia="Times New Roman" w:cs="Times New Roman"/>
      <w:i/>
      <w:iCs/>
      <w:color w:val="2F5496"/>
    </w:rPr>
  </w:style>
  <w:style w:type="character" w:customStyle="1" w:styleId="Nadpis5Char">
    <w:name w:val="Nadpis 5 Char"/>
    <w:basedOn w:val="Standardnpsmoodstavce"/>
    <w:rPr>
      <w:rFonts w:eastAsia="Times New Roman" w:cs="Times New Roman"/>
      <w:color w:val="2F5496"/>
    </w:rPr>
  </w:style>
  <w:style w:type="character" w:customStyle="1" w:styleId="Nadpis6Char">
    <w:name w:val="Nadpis 6 Char"/>
    <w:basedOn w:val="Standardnpsmoodstavce"/>
    <w:rPr>
      <w:rFonts w:eastAsia="Times New Roman" w:cs="Times New Roman"/>
      <w:i/>
      <w:iCs/>
      <w:color w:val="595959"/>
    </w:rPr>
  </w:style>
  <w:style w:type="character" w:customStyle="1" w:styleId="Nadpis7Char">
    <w:name w:val="Nadpis 7 Char"/>
    <w:basedOn w:val="Standardnpsmoodstavce"/>
    <w:rPr>
      <w:rFonts w:eastAsia="Times New Roman" w:cs="Times New Roman"/>
      <w:color w:val="595959"/>
    </w:rPr>
  </w:style>
  <w:style w:type="character" w:customStyle="1" w:styleId="Nadpis8Char">
    <w:name w:val="Nadpis 8 Char"/>
    <w:basedOn w:val="Standardnpsmoodstavce"/>
    <w:rPr>
      <w:rFonts w:eastAsia="Times New Roman" w:cs="Times New Roman"/>
      <w:i/>
      <w:iCs/>
      <w:color w:val="272727"/>
    </w:rPr>
  </w:style>
  <w:style w:type="character" w:customStyle="1" w:styleId="Nadpis9Char">
    <w:name w:val="Nadpis 9 Char"/>
    <w:basedOn w:val="Standardnpsmoodstavce"/>
    <w:rPr>
      <w:rFonts w:eastAsia="Times New Roman" w:cs="Times New Roman"/>
      <w:color w:val="272727"/>
    </w:rPr>
  </w:style>
  <w:style w:type="paragraph" w:styleId="Nzev">
    <w:name w:val="Title"/>
    <w:basedOn w:val="Normln"/>
    <w:next w:val="Normln"/>
    <w:uiPriority w:val="10"/>
    <w:qFormat/>
    <w:pPr>
      <w:spacing w:after="80" w:line="240" w:lineRule="auto"/>
    </w:pPr>
    <w:rPr>
      <w:rFonts w:ascii="Calibri Light" w:eastAsia="Times New Roman" w:hAnsi="Calibri Light"/>
      <w:spacing w:val="-10"/>
      <w:sz w:val="56"/>
      <w:szCs w:val="56"/>
    </w:rPr>
  </w:style>
  <w:style w:type="character" w:customStyle="1" w:styleId="NzevChar">
    <w:name w:val="Název Char"/>
    <w:basedOn w:val="Standardnpsmoodstavce"/>
    <w:rPr>
      <w:rFonts w:ascii="Calibri Light" w:eastAsia="Times New Roman" w:hAnsi="Calibri Light" w:cs="Times New Roman"/>
      <w:spacing w:val="-10"/>
      <w:kern w:val="3"/>
      <w:sz w:val="56"/>
      <w:szCs w:val="56"/>
    </w:rPr>
  </w:style>
  <w:style w:type="paragraph" w:styleId="Podnadpis">
    <w:name w:val="Subtitle"/>
    <w:basedOn w:val="Normln"/>
    <w:next w:val="Normln"/>
    <w:uiPriority w:val="11"/>
    <w:qFormat/>
    <w:rPr>
      <w:rFonts w:eastAsia="Times New Roman"/>
      <w:color w:val="595959"/>
      <w:spacing w:val="15"/>
      <w:sz w:val="28"/>
      <w:szCs w:val="28"/>
    </w:rPr>
  </w:style>
  <w:style w:type="character" w:customStyle="1" w:styleId="PodnadpisChar">
    <w:name w:val="Podnadpis Char"/>
    <w:basedOn w:val="Standardnpsmoodstavce"/>
    <w:rPr>
      <w:rFonts w:eastAsia="Times New Roman" w:cs="Times New Roman"/>
      <w:color w:val="595959"/>
      <w:spacing w:val="15"/>
      <w:sz w:val="28"/>
      <w:szCs w:val="28"/>
    </w:rPr>
  </w:style>
  <w:style w:type="paragraph" w:styleId="Citt">
    <w:name w:val="Quote"/>
    <w:basedOn w:val="Normln"/>
    <w:next w:val="Normln"/>
    <w:pPr>
      <w:spacing w:before="160"/>
      <w:jc w:val="center"/>
    </w:pPr>
    <w:rPr>
      <w:i/>
      <w:iCs/>
      <w:color w:val="404040"/>
    </w:rPr>
  </w:style>
  <w:style w:type="character" w:customStyle="1" w:styleId="CittChar">
    <w:name w:val="Citát Char"/>
    <w:basedOn w:val="Standardnpsmoodstavce"/>
    <w:rPr>
      <w:i/>
      <w:iCs/>
      <w:color w:val="404040"/>
    </w:rPr>
  </w:style>
  <w:style w:type="paragraph" w:styleId="Odstavecseseznamem">
    <w:name w:val="List Paragraph"/>
    <w:basedOn w:val="Normln"/>
    <w:pPr>
      <w:ind w:left="720"/>
    </w:pPr>
  </w:style>
  <w:style w:type="character" w:styleId="Zdraznnintenzivn">
    <w:name w:val="Intense Emphasis"/>
    <w:basedOn w:val="Standardnpsmoodstavce"/>
    <w:rPr>
      <w:i/>
      <w:iCs/>
      <w:color w:val="2F5496"/>
    </w:rPr>
  </w:style>
  <w:style w:type="paragraph" w:styleId="Vrazncitt">
    <w:name w:val="Intense Quote"/>
    <w:basedOn w:val="Normln"/>
    <w:next w:val="Normln"/>
    <w:pPr>
      <w:pBdr>
        <w:top w:val="single" w:sz="4" w:space="10" w:color="2F5496"/>
        <w:bottom w:val="single" w:sz="4" w:space="10" w:color="2F5496"/>
      </w:pBdr>
      <w:spacing w:before="360" w:after="360"/>
      <w:ind w:left="864" w:right="864"/>
      <w:jc w:val="center"/>
    </w:pPr>
    <w:rPr>
      <w:i/>
      <w:iCs/>
      <w:color w:val="2F5496"/>
    </w:rPr>
  </w:style>
  <w:style w:type="character" w:customStyle="1" w:styleId="VrazncittChar">
    <w:name w:val="Výrazný citát Char"/>
    <w:basedOn w:val="Standardnpsmoodstavce"/>
    <w:rPr>
      <w:i/>
      <w:iCs/>
      <w:color w:val="2F5496"/>
    </w:rPr>
  </w:style>
  <w:style w:type="character" w:styleId="Odkazintenzivn">
    <w:name w:val="Intense Reference"/>
    <w:basedOn w:val="Standardnpsmoodstavce"/>
    <w:rPr>
      <w:b/>
      <w:bCs/>
      <w:smallCaps/>
      <w:color w:val="2F5496"/>
      <w:spacing w:val="5"/>
    </w:rPr>
  </w:style>
  <w:style w:type="character" w:styleId="Hypertextovodkaz">
    <w:name w:val="Hyperlink"/>
    <w:basedOn w:val="Standardnpsmoodstavce"/>
    <w:rPr>
      <w:color w:val="0563C1"/>
      <w:u w:val="single"/>
    </w:rPr>
  </w:style>
  <w:style w:type="character" w:styleId="Nevyeenzmnka">
    <w:name w:val="Unresolved Mention"/>
    <w:basedOn w:val="Standardnpsmoodstavce"/>
    <w:rPr>
      <w:color w:val="605E5C"/>
      <w:shd w:val="clear" w:color="auto" w:fill="E1DFDD"/>
    </w:rPr>
  </w:style>
  <w:style w:type="table" w:styleId="Mkatabulky">
    <w:name w:val="Table Grid"/>
    <w:basedOn w:val="Normlntabulka"/>
    <w:uiPriority w:val="39"/>
    <w:rsid w:val="009F0A76"/>
    <w:pPr>
      <w:autoSpaceDN/>
      <w:spacing w:after="0" w:line="240" w:lineRule="auto"/>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docs.live.net/3003F9A4FDDCDBB1/Dokumenty/podcastu%20&#352;t&#283;pen&#2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p.electricitymaps.com/map/zone/CZ/live/fifteen_minutes" TargetMode="External"/><Relationship Id="rId12" Type="http://schemas.openxmlformats.org/officeDocument/2006/relationships/hyperlink" Target="https://www.datarun.cz/zazdena-studie-cvut-stat-planuje-energetiku-podle-modelu-ktery-by-neobstal-ani-jako-bakalar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hyperlink" Target="https://eru.gov.cz/ctvrtletni-zprava-o-provozu-elektrizacni-soustavy-cr-za-i-ctvrtleti-2025" TargetMode="External"/><Relationship Id="rId4" Type="http://schemas.openxmlformats.org/officeDocument/2006/relationships/footnotes" Target="footnotes.xml"/><Relationship Id="rId9" Type="http://schemas.openxmlformats.org/officeDocument/2006/relationships/hyperlink" Target="https://ceskepodcasty.cz/podcast/stepeni/pavel-tykac-uhli-v-cesku-konci-zaviram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lan\Downloads\ctvrtletnizprava2025i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solidFill>
                  <a:srgbClr val="233060"/>
                </a:solidFill>
              </a:defRPr>
            </a:pPr>
            <a:r>
              <a:rPr lang="cs-CZ" sz="1000">
                <a:solidFill>
                  <a:srgbClr val="233060"/>
                </a:solidFill>
              </a:rPr>
              <a:t>Čára</a:t>
            </a:r>
            <a:r>
              <a:rPr lang="cs-CZ" sz="1000" baseline="0">
                <a:solidFill>
                  <a:srgbClr val="233060"/>
                </a:solidFill>
              </a:rPr>
              <a:t> trvání zatížení brutto (MW)</a:t>
            </a:r>
            <a:endParaRPr lang="en-US" sz="1000">
              <a:solidFill>
                <a:srgbClr val="233060"/>
              </a:solidFill>
            </a:endParaRPr>
          </a:p>
        </c:rich>
      </c:tx>
      <c:layout>
        <c:manualLayout>
          <c:xMode val="edge"/>
          <c:yMode val="edge"/>
          <c:x val="6.9038461538463436E-4"/>
          <c:y val="0"/>
        </c:manualLayout>
      </c:layout>
      <c:overlay val="0"/>
      <c:spPr>
        <a:solidFill>
          <a:sysClr val="window" lastClr="FFFFFF"/>
        </a:solidFill>
      </c:spPr>
    </c:title>
    <c:autoTitleDeleted val="0"/>
    <c:plotArea>
      <c:layout>
        <c:manualLayout>
          <c:layoutTarget val="inner"/>
          <c:xMode val="edge"/>
          <c:yMode val="edge"/>
          <c:x val="0.11868817368702698"/>
          <c:y val="0.10073660147320294"/>
          <c:w val="0.83217266773692111"/>
          <c:h val="0.63961290322580644"/>
        </c:manualLayout>
      </c:layout>
      <c:scatterChart>
        <c:scatterStyle val="smoothMarker"/>
        <c:varyColors val="0"/>
        <c:ser>
          <c:idx val="0"/>
          <c:order val="0"/>
          <c:tx>
            <c:v>Zatížení</c:v>
          </c:tx>
          <c:spPr>
            <a:ln w="31750"/>
          </c:spPr>
          <c:marker>
            <c:symbol val="none"/>
          </c:marker>
          <c:xVal>
            <c:numLit>
              <c:formatCode>General</c:formatCode>
              <c:ptCount val="401"/>
              <c:pt idx="0">
                <c:v>0</c:v>
              </c:pt>
              <c:pt idx="1">
                <c:v>22</c:v>
              </c:pt>
              <c:pt idx="2">
                <c:v>43</c:v>
              </c:pt>
              <c:pt idx="3">
                <c:v>65</c:v>
              </c:pt>
              <c:pt idx="4">
                <c:v>86</c:v>
              </c:pt>
              <c:pt idx="5">
                <c:v>108</c:v>
              </c:pt>
              <c:pt idx="6">
                <c:v>130</c:v>
              </c:pt>
              <c:pt idx="7">
                <c:v>151</c:v>
              </c:pt>
              <c:pt idx="8">
                <c:v>173</c:v>
              </c:pt>
              <c:pt idx="9">
                <c:v>194</c:v>
              </c:pt>
              <c:pt idx="10">
                <c:v>216</c:v>
              </c:pt>
              <c:pt idx="11">
                <c:v>237</c:v>
              </c:pt>
              <c:pt idx="12">
                <c:v>259</c:v>
              </c:pt>
              <c:pt idx="13">
                <c:v>281</c:v>
              </c:pt>
              <c:pt idx="14">
                <c:v>302</c:v>
              </c:pt>
              <c:pt idx="15">
                <c:v>324</c:v>
              </c:pt>
              <c:pt idx="16">
                <c:v>345</c:v>
              </c:pt>
              <c:pt idx="17">
                <c:v>367</c:v>
              </c:pt>
              <c:pt idx="18">
                <c:v>389</c:v>
              </c:pt>
              <c:pt idx="19">
                <c:v>410</c:v>
              </c:pt>
              <c:pt idx="20">
                <c:v>432</c:v>
              </c:pt>
              <c:pt idx="21">
                <c:v>453</c:v>
              </c:pt>
              <c:pt idx="22">
                <c:v>475</c:v>
              </c:pt>
              <c:pt idx="23">
                <c:v>497</c:v>
              </c:pt>
              <c:pt idx="24">
                <c:v>518</c:v>
              </c:pt>
              <c:pt idx="25">
                <c:v>540</c:v>
              </c:pt>
              <c:pt idx="26">
                <c:v>561</c:v>
              </c:pt>
              <c:pt idx="27">
                <c:v>583</c:v>
              </c:pt>
              <c:pt idx="28">
                <c:v>604</c:v>
              </c:pt>
              <c:pt idx="29">
                <c:v>626</c:v>
              </c:pt>
              <c:pt idx="30">
                <c:v>648</c:v>
              </c:pt>
              <c:pt idx="31">
                <c:v>669</c:v>
              </c:pt>
              <c:pt idx="32">
                <c:v>691</c:v>
              </c:pt>
              <c:pt idx="33">
                <c:v>712</c:v>
              </c:pt>
              <c:pt idx="34">
                <c:v>734</c:v>
              </c:pt>
              <c:pt idx="35">
                <c:v>756</c:v>
              </c:pt>
              <c:pt idx="36">
                <c:v>777</c:v>
              </c:pt>
              <c:pt idx="37">
                <c:v>799</c:v>
              </c:pt>
              <c:pt idx="38">
                <c:v>820</c:v>
              </c:pt>
              <c:pt idx="39">
                <c:v>842</c:v>
              </c:pt>
              <c:pt idx="40">
                <c:v>864</c:v>
              </c:pt>
              <c:pt idx="41">
                <c:v>885</c:v>
              </c:pt>
              <c:pt idx="42">
                <c:v>907</c:v>
              </c:pt>
              <c:pt idx="43">
                <c:v>928</c:v>
              </c:pt>
              <c:pt idx="44">
                <c:v>950</c:v>
              </c:pt>
              <c:pt idx="45">
                <c:v>971</c:v>
              </c:pt>
              <c:pt idx="46">
                <c:v>993</c:v>
              </c:pt>
              <c:pt idx="47">
                <c:v>1015</c:v>
              </c:pt>
              <c:pt idx="48">
                <c:v>1036</c:v>
              </c:pt>
              <c:pt idx="49">
                <c:v>1058</c:v>
              </c:pt>
              <c:pt idx="50">
                <c:v>1079</c:v>
              </c:pt>
              <c:pt idx="51">
                <c:v>1101</c:v>
              </c:pt>
              <c:pt idx="52">
                <c:v>1123</c:v>
              </c:pt>
              <c:pt idx="53">
                <c:v>1144</c:v>
              </c:pt>
              <c:pt idx="54">
                <c:v>1166</c:v>
              </c:pt>
              <c:pt idx="55">
                <c:v>1187</c:v>
              </c:pt>
              <c:pt idx="56">
                <c:v>1209</c:v>
              </c:pt>
              <c:pt idx="57">
                <c:v>1230</c:v>
              </c:pt>
              <c:pt idx="58">
                <c:v>1252</c:v>
              </c:pt>
              <c:pt idx="59">
                <c:v>1274</c:v>
              </c:pt>
              <c:pt idx="60">
                <c:v>1295</c:v>
              </c:pt>
              <c:pt idx="61">
                <c:v>1317</c:v>
              </c:pt>
              <c:pt idx="62">
                <c:v>1338</c:v>
              </c:pt>
              <c:pt idx="63">
                <c:v>1360</c:v>
              </c:pt>
              <c:pt idx="64">
                <c:v>1382</c:v>
              </c:pt>
              <c:pt idx="65">
                <c:v>1403</c:v>
              </c:pt>
              <c:pt idx="66">
                <c:v>1425</c:v>
              </c:pt>
              <c:pt idx="67">
                <c:v>1446</c:v>
              </c:pt>
              <c:pt idx="68">
                <c:v>1468</c:v>
              </c:pt>
              <c:pt idx="69">
                <c:v>1490</c:v>
              </c:pt>
              <c:pt idx="70">
                <c:v>1511</c:v>
              </c:pt>
              <c:pt idx="71">
                <c:v>1533</c:v>
              </c:pt>
              <c:pt idx="72">
                <c:v>1554</c:v>
              </c:pt>
              <c:pt idx="73">
                <c:v>1576</c:v>
              </c:pt>
              <c:pt idx="74">
                <c:v>1597</c:v>
              </c:pt>
              <c:pt idx="75">
                <c:v>1619</c:v>
              </c:pt>
              <c:pt idx="76">
                <c:v>1641</c:v>
              </c:pt>
              <c:pt idx="77">
                <c:v>1662</c:v>
              </c:pt>
              <c:pt idx="78">
                <c:v>1684</c:v>
              </c:pt>
              <c:pt idx="79">
                <c:v>1705</c:v>
              </c:pt>
              <c:pt idx="80">
                <c:v>1727</c:v>
              </c:pt>
              <c:pt idx="81">
                <c:v>1749</c:v>
              </c:pt>
              <c:pt idx="82">
                <c:v>1770</c:v>
              </c:pt>
              <c:pt idx="83">
                <c:v>1792</c:v>
              </c:pt>
              <c:pt idx="84">
                <c:v>1813</c:v>
              </c:pt>
              <c:pt idx="85">
                <c:v>1835</c:v>
              </c:pt>
              <c:pt idx="86">
                <c:v>1857</c:v>
              </c:pt>
              <c:pt idx="87">
                <c:v>1878</c:v>
              </c:pt>
              <c:pt idx="88">
                <c:v>1900</c:v>
              </c:pt>
              <c:pt idx="89">
                <c:v>1921</c:v>
              </c:pt>
              <c:pt idx="90">
                <c:v>1943</c:v>
              </c:pt>
              <c:pt idx="91">
                <c:v>1964</c:v>
              </c:pt>
              <c:pt idx="92">
                <c:v>1986</c:v>
              </c:pt>
              <c:pt idx="93">
                <c:v>2008</c:v>
              </c:pt>
              <c:pt idx="94">
                <c:v>2029</c:v>
              </c:pt>
              <c:pt idx="95">
                <c:v>2051</c:v>
              </c:pt>
              <c:pt idx="96">
                <c:v>2072</c:v>
              </c:pt>
              <c:pt idx="97">
                <c:v>2094</c:v>
              </c:pt>
              <c:pt idx="98">
                <c:v>2116</c:v>
              </c:pt>
              <c:pt idx="99">
                <c:v>2137</c:v>
              </c:pt>
              <c:pt idx="100">
                <c:v>2159</c:v>
              </c:pt>
              <c:pt idx="101">
                <c:v>2180</c:v>
              </c:pt>
              <c:pt idx="102">
                <c:v>2202</c:v>
              </c:pt>
              <c:pt idx="103">
                <c:v>2224</c:v>
              </c:pt>
              <c:pt idx="104">
                <c:v>2245</c:v>
              </c:pt>
              <c:pt idx="105">
                <c:v>2267</c:v>
              </c:pt>
              <c:pt idx="106">
                <c:v>2288</c:v>
              </c:pt>
              <c:pt idx="107">
                <c:v>2310</c:v>
              </c:pt>
              <c:pt idx="108">
                <c:v>2331</c:v>
              </c:pt>
              <c:pt idx="109">
                <c:v>2353</c:v>
              </c:pt>
              <c:pt idx="110">
                <c:v>2375</c:v>
              </c:pt>
              <c:pt idx="111">
                <c:v>2396</c:v>
              </c:pt>
              <c:pt idx="112">
                <c:v>2418</c:v>
              </c:pt>
              <c:pt idx="113">
                <c:v>2439</c:v>
              </c:pt>
              <c:pt idx="114">
                <c:v>2461</c:v>
              </c:pt>
              <c:pt idx="115">
                <c:v>2483</c:v>
              </c:pt>
              <c:pt idx="116">
                <c:v>2504</c:v>
              </c:pt>
              <c:pt idx="117">
                <c:v>2526</c:v>
              </c:pt>
              <c:pt idx="118">
                <c:v>2547</c:v>
              </c:pt>
              <c:pt idx="119">
                <c:v>2569</c:v>
              </c:pt>
              <c:pt idx="120">
                <c:v>2590</c:v>
              </c:pt>
              <c:pt idx="121">
                <c:v>2612</c:v>
              </c:pt>
              <c:pt idx="122">
                <c:v>2634</c:v>
              </c:pt>
              <c:pt idx="123">
                <c:v>2655</c:v>
              </c:pt>
              <c:pt idx="124">
                <c:v>2677</c:v>
              </c:pt>
              <c:pt idx="125">
                <c:v>2698</c:v>
              </c:pt>
              <c:pt idx="126">
                <c:v>2720</c:v>
              </c:pt>
              <c:pt idx="127">
                <c:v>2742</c:v>
              </c:pt>
              <c:pt idx="128">
                <c:v>2763</c:v>
              </c:pt>
              <c:pt idx="129">
                <c:v>2785</c:v>
              </c:pt>
              <c:pt idx="130">
                <c:v>2806</c:v>
              </c:pt>
              <c:pt idx="131">
                <c:v>2828</c:v>
              </c:pt>
              <c:pt idx="132">
                <c:v>2850</c:v>
              </c:pt>
              <c:pt idx="133">
                <c:v>2871</c:v>
              </c:pt>
              <c:pt idx="134">
                <c:v>2893</c:v>
              </c:pt>
              <c:pt idx="135">
                <c:v>2914</c:v>
              </c:pt>
              <c:pt idx="136">
                <c:v>2936</c:v>
              </c:pt>
              <c:pt idx="137">
                <c:v>2957</c:v>
              </c:pt>
              <c:pt idx="138">
                <c:v>2979</c:v>
              </c:pt>
              <c:pt idx="139">
                <c:v>3001</c:v>
              </c:pt>
              <c:pt idx="140">
                <c:v>3022</c:v>
              </c:pt>
              <c:pt idx="141">
                <c:v>3044</c:v>
              </c:pt>
              <c:pt idx="142">
                <c:v>3065</c:v>
              </c:pt>
              <c:pt idx="143">
                <c:v>3087</c:v>
              </c:pt>
              <c:pt idx="144">
                <c:v>3109</c:v>
              </c:pt>
              <c:pt idx="145">
                <c:v>3130</c:v>
              </c:pt>
              <c:pt idx="146">
                <c:v>3152</c:v>
              </c:pt>
              <c:pt idx="147">
                <c:v>3173</c:v>
              </c:pt>
              <c:pt idx="148">
                <c:v>3195</c:v>
              </c:pt>
              <c:pt idx="149">
                <c:v>3217</c:v>
              </c:pt>
              <c:pt idx="150">
                <c:v>3238</c:v>
              </c:pt>
              <c:pt idx="151">
                <c:v>3260</c:v>
              </c:pt>
              <c:pt idx="152">
                <c:v>3281</c:v>
              </c:pt>
              <c:pt idx="153">
                <c:v>3303</c:v>
              </c:pt>
              <c:pt idx="154">
                <c:v>3324</c:v>
              </c:pt>
              <c:pt idx="155">
                <c:v>3346</c:v>
              </c:pt>
              <c:pt idx="156">
                <c:v>3368</c:v>
              </c:pt>
              <c:pt idx="157">
                <c:v>3389</c:v>
              </c:pt>
              <c:pt idx="158">
                <c:v>3411</c:v>
              </c:pt>
              <c:pt idx="159">
                <c:v>3432</c:v>
              </c:pt>
              <c:pt idx="160">
                <c:v>3454</c:v>
              </c:pt>
              <c:pt idx="161">
                <c:v>3476</c:v>
              </c:pt>
              <c:pt idx="162">
                <c:v>3497</c:v>
              </c:pt>
              <c:pt idx="163">
                <c:v>3519</c:v>
              </c:pt>
              <c:pt idx="164">
                <c:v>3540</c:v>
              </c:pt>
              <c:pt idx="165">
                <c:v>3562</c:v>
              </c:pt>
              <c:pt idx="166">
                <c:v>3584</c:v>
              </c:pt>
              <c:pt idx="167">
                <c:v>3605</c:v>
              </c:pt>
              <c:pt idx="168">
                <c:v>3627</c:v>
              </c:pt>
              <c:pt idx="169">
                <c:v>3648</c:v>
              </c:pt>
              <c:pt idx="170">
                <c:v>3670</c:v>
              </c:pt>
              <c:pt idx="171">
                <c:v>3691</c:v>
              </c:pt>
              <c:pt idx="172">
                <c:v>3713</c:v>
              </c:pt>
              <c:pt idx="173">
                <c:v>3735</c:v>
              </c:pt>
              <c:pt idx="174">
                <c:v>3756</c:v>
              </c:pt>
              <c:pt idx="175">
                <c:v>3778</c:v>
              </c:pt>
              <c:pt idx="176">
                <c:v>3799</c:v>
              </c:pt>
              <c:pt idx="177">
                <c:v>3821</c:v>
              </c:pt>
              <c:pt idx="178">
                <c:v>3843</c:v>
              </c:pt>
              <c:pt idx="179">
                <c:v>3864</c:v>
              </c:pt>
              <c:pt idx="180">
                <c:v>3886</c:v>
              </c:pt>
              <c:pt idx="181">
                <c:v>3907</c:v>
              </c:pt>
              <c:pt idx="182">
                <c:v>3929</c:v>
              </c:pt>
              <c:pt idx="183">
                <c:v>3951</c:v>
              </c:pt>
              <c:pt idx="184">
                <c:v>3972</c:v>
              </c:pt>
              <c:pt idx="185">
                <c:v>3994</c:v>
              </c:pt>
              <c:pt idx="186">
                <c:v>4015</c:v>
              </c:pt>
              <c:pt idx="187">
                <c:v>4037</c:v>
              </c:pt>
              <c:pt idx="188">
                <c:v>4058</c:v>
              </c:pt>
              <c:pt idx="189">
                <c:v>4080</c:v>
              </c:pt>
              <c:pt idx="190">
                <c:v>4102</c:v>
              </c:pt>
              <c:pt idx="191">
                <c:v>4123</c:v>
              </c:pt>
              <c:pt idx="192">
                <c:v>4145</c:v>
              </c:pt>
              <c:pt idx="193">
                <c:v>4166</c:v>
              </c:pt>
              <c:pt idx="194">
                <c:v>4188</c:v>
              </c:pt>
              <c:pt idx="195">
                <c:v>4210</c:v>
              </c:pt>
              <c:pt idx="196">
                <c:v>4231</c:v>
              </c:pt>
              <c:pt idx="197">
                <c:v>4253</c:v>
              </c:pt>
              <c:pt idx="198">
                <c:v>4274</c:v>
              </c:pt>
              <c:pt idx="199">
                <c:v>4296</c:v>
              </c:pt>
              <c:pt idx="200">
                <c:v>4318</c:v>
              </c:pt>
              <c:pt idx="201">
                <c:v>4339</c:v>
              </c:pt>
              <c:pt idx="202">
                <c:v>4361</c:v>
              </c:pt>
              <c:pt idx="203">
                <c:v>4382</c:v>
              </c:pt>
              <c:pt idx="204">
                <c:v>4404</c:v>
              </c:pt>
              <c:pt idx="205">
                <c:v>4425</c:v>
              </c:pt>
              <c:pt idx="206">
                <c:v>4447</c:v>
              </c:pt>
              <c:pt idx="207">
                <c:v>4469</c:v>
              </c:pt>
              <c:pt idx="208">
                <c:v>4490</c:v>
              </c:pt>
              <c:pt idx="209">
                <c:v>4512</c:v>
              </c:pt>
              <c:pt idx="210">
                <c:v>4533</c:v>
              </c:pt>
              <c:pt idx="211">
                <c:v>4555</c:v>
              </c:pt>
              <c:pt idx="212">
                <c:v>4577</c:v>
              </c:pt>
              <c:pt idx="213">
                <c:v>4598</c:v>
              </c:pt>
              <c:pt idx="214">
                <c:v>4620</c:v>
              </c:pt>
              <c:pt idx="215">
                <c:v>4641</c:v>
              </c:pt>
              <c:pt idx="216">
                <c:v>4663</c:v>
              </c:pt>
              <c:pt idx="217">
                <c:v>4684</c:v>
              </c:pt>
              <c:pt idx="218">
                <c:v>4706</c:v>
              </c:pt>
              <c:pt idx="219">
                <c:v>4728</c:v>
              </c:pt>
              <c:pt idx="220">
                <c:v>4749</c:v>
              </c:pt>
              <c:pt idx="221">
                <c:v>4771</c:v>
              </c:pt>
              <c:pt idx="222">
                <c:v>4792</c:v>
              </c:pt>
              <c:pt idx="223">
                <c:v>4814</c:v>
              </c:pt>
              <c:pt idx="224">
                <c:v>4836</c:v>
              </c:pt>
              <c:pt idx="225">
                <c:v>4857</c:v>
              </c:pt>
              <c:pt idx="226">
                <c:v>4879</c:v>
              </c:pt>
              <c:pt idx="227">
                <c:v>4900</c:v>
              </c:pt>
              <c:pt idx="228">
                <c:v>4922</c:v>
              </c:pt>
              <c:pt idx="229">
                <c:v>4944</c:v>
              </c:pt>
              <c:pt idx="230">
                <c:v>4965</c:v>
              </c:pt>
              <c:pt idx="231">
                <c:v>4987</c:v>
              </c:pt>
              <c:pt idx="232">
                <c:v>5008</c:v>
              </c:pt>
              <c:pt idx="233">
                <c:v>5030</c:v>
              </c:pt>
              <c:pt idx="234">
                <c:v>5051</c:v>
              </c:pt>
              <c:pt idx="235">
                <c:v>5073</c:v>
              </c:pt>
              <c:pt idx="236">
                <c:v>5095</c:v>
              </c:pt>
              <c:pt idx="237">
                <c:v>5116</c:v>
              </c:pt>
              <c:pt idx="238">
                <c:v>5138</c:v>
              </c:pt>
              <c:pt idx="239">
                <c:v>5159</c:v>
              </c:pt>
              <c:pt idx="240">
                <c:v>5181</c:v>
              </c:pt>
              <c:pt idx="241">
                <c:v>5203</c:v>
              </c:pt>
              <c:pt idx="242">
                <c:v>5224</c:v>
              </c:pt>
              <c:pt idx="243">
                <c:v>5246</c:v>
              </c:pt>
              <c:pt idx="244">
                <c:v>5267</c:v>
              </c:pt>
              <c:pt idx="245">
                <c:v>5289</c:v>
              </c:pt>
              <c:pt idx="246">
                <c:v>5311</c:v>
              </c:pt>
              <c:pt idx="247">
                <c:v>5332</c:v>
              </c:pt>
              <c:pt idx="248">
                <c:v>5354</c:v>
              </c:pt>
              <c:pt idx="249">
                <c:v>5375</c:v>
              </c:pt>
              <c:pt idx="250">
                <c:v>5397</c:v>
              </c:pt>
              <c:pt idx="251">
                <c:v>5418</c:v>
              </c:pt>
              <c:pt idx="252">
                <c:v>5440</c:v>
              </c:pt>
              <c:pt idx="253">
                <c:v>5462</c:v>
              </c:pt>
              <c:pt idx="254">
                <c:v>5483</c:v>
              </c:pt>
              <c:pt idx="255">
                <c:v>5505</c:v>
              </c:pt>
              <c:pt idx="256">
                <c:v>5526</c:v>
              </c:pt>
              <c:pt idx="257">
                <c:v>5548</c:v>
              </c:pt>
              <c:pt idx="258">
                <c:v>5570</c:v>
              </c:pt>
              <c:pt idx="259">
                <c:v>5591</c:v>
              </c:pt>
              <c:pt idx="260">
                <c:v>5613</c:v>
              </c:pt>
              <c:pt idx="261">
                <c:v>5634</c:v>
              </c:pt>
              <c:pt idx="262">
                <c:v>5656</c:v>
              </c:pt>
              <c:pt idx="263">
                <c:v>5678</c:v>
              </c:pt>
              <c:pt idx="264">
                <c:v>5699</c:v>
              </c:pt>
              <c:pt idx="265">
                <c:v>5721</c:v>
              </c:pt>
              <c:pt idx="266">
                <c:v>5742</c:v>
              </c:pt>
              <c:pt idx="267">
                <c:v>5764</c:v>
              </c:pt>
              <c:pt idx="268">
                <c:v>5785</c:v>
              </c:pt>
              <c:pt idx="269">
                <c:v>5807</c:v>
              </c:pt>
              <c:pt idx="270">
                <c:v>5829</c:v>
              </c:pt>
              <c:pt idx="271">
                <c:v>5850</c:v>
              </c:pt>
              <c:pt idx="272">
                <c:v>5872</c:v>
              </c:pt>
              <c:pt idx="273">
                <c:v>5893</c:v>
              </c:pt>
              <c:pt idx="274">
                <c:v>5915</c:v>
              </c:pt>
              <c:pt idx="275">
                <c:v>5937</c:v>
              </c:pt>
              <c:pt idx="276">
                <c:v>5958</c:v>
              </c:pt>
              <c:pt idx="277">
                <c:v>5980</c:v>
              </c:pt>
              <c:pt idx="278">
                <c:v>6001</c:v>
              </c:pt>
              <c:pt idx="279">
                <c:v>6023</c:v>
              </c:pt>
              <c:pt idx="280">
                <c:v>6044</c:v>
              </c:pt>
              <c:pt idx="281">
                <c:v>6066</c:v>
              </c:pt>
              <c:pt idx="282">
                <c:v>6088</c:v>
              </c:pt>
              <c:pt idx="283">
                <c:v>6109</c:v>
              </c:pt>
              <c:pt idx="284">
                <c:v>6131</c:v>
              </c:pt>
              <c:pt idx="285">
                <c:v>6152</c:v>
              </c:pt>
              <c:pt idx="286">
                <c:v>6174</c:v>
              </c:pt>
              <c:pt idx="287">
                <c:v>6196</c:v>
              </c:pt>
              <c:pt idx="288">
                <c:v>6217</c:v>
              </c:pt>
              <c:pt idx="289">
                <c:v>6239</c:v>
              </c:pt>
              <c:pt idx="290">
                <c:v>6260</c:v>
              </c:pt>
              <c:pt idx="291">
                <c:v>6282</c:v>
              </c:pt>
              <c:pt idx="292">
                <c:v>6304</c:v>
              </c:pt>
              <c:pt idx="293">
                <c:v>6325</c:v>
              </c:pt>
              <c:pt idx="294">
                <c:v>6347</c:v>
              </c:pt>
              <c:pt idx="295">
                <c:v>6368</c:v>
              </c:pt>
              <c:pt idx="296">
                <c:v>6390</c:v>
              </c:pt>
              <c:pt idx="297">
                <c:v>6411</c:v>
              </c:pt>
              <c:pt idx="298">
                <c:v>6433</c:v>
              </c:pt>
              <c:pt idx="299">
                <c:v>6455</c:v>
              </c:pt>
              <c:pt idx="300">
                <c:v>6476</c:v>
              </c:pt>
              <c:pt idx="301">
                <c:v>6498</c:v>
              </c:pt>
              <c:pt idx="302">
                <c:v>6519</c:v>
              </c:pt>
              <c:pt idx="303">
                <c:v>6541</c:v>
              </c:pt>
              <c:pt idx="304">
                <c:v>6563</c:v>
              </c:pt>
              <c:pt idx="305">
                <c:v>6584</c:v>
              </c:pt>
              <c:pt idx="306">
                <c:v>6606</c:v>
              </c:pt>
              <c:pt idx="307">
                <c:v>6627</c:v>
              </c:pt>
              <c:pt idx="308">
                <c:v>6649</c:v>
              </c:pt>
              <c:pt idx="309">
                <c:v>6671</c:v>
              </c:pt>
              <c:pt idx="310">
                <c:v>6692</c:v>
              </c:pt>
              <c:pt idx="311">
                <c:v>6714</c:v>
              </c:pt>
              <c:pt idx="312">
                <c:v>6735</c:v>
              </c:pt>
              <c:pt idx="313">
                <c:v>6757</c:v>
              </c:pt>
              <c:pt idx="314">
                <c:v>6778</c:v>
              </c:pt>
              <c:pt idx="315">
                <c:v>6800</c:v>
              </c:pt>
              <c:pt idx="316">
                <c:v>6822</c:v>
              </c:pt>
              <c:pt idx="317">
                <c:v>6843</c:v>
              </c:pt>
              <c:pt idx="318">
                <c:v>6865</c:v>
              </c:pt>
              <c:pt idx="319">
                <c:v>6886</c:v>
              </c:pt>
              <c:pt idx="320">
                <c:v>6908</c:v>
              </c:pt>
              <c:pt idx="321">
                <c:v>6930</c:v>
              </c:pt>
              <c:pt idx="322">
                <c:v>6951</c:v>
              </c:pt>
              <c:pt idx="323">
                <c:v>6973</c:v>
              </c:pt>
              <c:pt idx="324">
                <c:v>6994</c:v>
              </c:pt>
              <c:pt idx="325">
                <c:v>7016</c:v>
              </c:pt>
              <c:pt idx="326">
                <c:v>7038</c:v>
              </c:pt>
              <c:pt idx="327">
                <c:v>7059</c:v>
              </c:pt>
              <c:pt idx="328">
                <c:v>7081</c:v>
              </c:pt>
              <c:pt idx="329">
                <c:v>7102</c:v>
              </c:pt>
              <c:pt idx="330">
                <c:v>7124</c:v>
              </c:pt>
              <c:pt idx="331">
                <c:v>7145</c:v>
              </c:pt>
              <c:pt idx="332">
                <c:v>7167</c:v>
              </c:pt>
              <c:pt idx="333">
                <c:v>7189</c:v>
              </c:pt>
              <c:pt idx="334">
                <c:v>7210</c:v>
              </c:pt>
              <c:pt idx="335">
                <c:v>7232</c:v>
              </c:pt>
              <c:pt idx="336">
                <c:v>7253</c:v>
              </c:pt>
              <c:pt idx="337">
                <c:v>7275</c:v>
              </c:pt>
              <c:pt idx="338">
                <c:v>7297</c:v>
              </c:pt>
              <c:pt idx="339">
                <c:v>7318</c:v>
              </c:pt>
              <c:pt idx="340">
                <c:v>7340</c:v>
              </c:pt>
              <c:pt idx="341">
                <c:v>7361</c:v>
              </c:pt>
              <c:pt idx="342">
                <c:v>7383</c:v>
              </c:pt>
              <c:pt idx="343">
                <c:v>7405</c:v>
              </c:pt>
              <c:pt idx="344">
                <c:v>7426</c:v>
              </c:pt>
              <c:pt idx="345">
                <c:v>7448</c:v>
              </c:pt>
              <c:pt idx="346">
                <c:v>7469</c:v>
              </c:pt>
              <c:pt idx="347">
                <c:v>7491</c:v>
              </c:pt>
              <c:pt idx="348">
                <c:v>7512</c:v>
              </c:pt>
              <c:pt idx="349">
                <c:v>7534</c:v>
              </c:pt>
              <c:pt idx="350">
                <c:v>7556</c:v>
              </c:pt>
              <c:pt idx="351">
                <c:v>7577</c:v>
              </c:pt>
              <c:pt idx="352">
                <c:v>7599</c:v>
              </c:pt>
              <c:pt idx="353">
                <c:v>7620</c:v>
              </c:pt>
              <c:pt idx="354">
                <c:v>7642</c:v>
              </c:pt>
              <c:pt idx="355">
                <c:v>7664</c:v>
              </c:pt>
              <c:pt idx="356">
                <c:v>7685</c:v>
              </c:pt>
              <c:pt idx="357">
                <c:v>7707</c:v>
              </c:pt>
              <c:pt idx="358">
                <c:v>7728</c:v>
              </c:pt>
              <c:pt idx="359">
                <c:v>7750</c:v>
              </c:pt>
              <c:pt idx="360">
                <c:v>7772</c:v>
              </c:pt>
              <c:pt idx="361">
                <c:v>7793</c:v>
              </c:pt>
              <c:pt idx="362">
                <c:v>7815</c:v>
              </c:pt>
              <c:pt idx="363">
                <c:v>7836</c:v>
              </c:pt>
              <c:pt idx="364">
                <c:v>7858</c:v>
              </c:pt>
              <c:pt idx="365">
                <c:v>7879</c:v>
              </c:pt>
              <c:pt idx="366">
                <c:v>7901</c:v>
              </c:pt>
              <c:pt idx="367">
                <c:v>7923</c:v>
              </c:pt>
              <c:pt idx="368">
                <c:v>7944</c:v>
              </c:pt>
              <c:pt idx="369">
                <c:v>7966</c:v>
              </c:pt>
              <c:pt idx="370">
                <c:v>7987</c:v>
              </c:pt>
              <c:pt idx="371">
                <c:v>8009</c:v>
              </c:pt>
              <c:pt idx="372">
                <c:v>8031</c:v>
              </c:pt>
              <c:pt idx="373">
                <c:v>8052</c:v>
              </c:pt>
              <c:pt idx="374">
                <c:v>8074</c:v>
              </c:pt>
              <c:pt idx="375">
                <c:v>8095</c:v>
              </c:pt>
              <c:pt idx="376">
                <c:v>8117</c:v>
              </c:pt>
              <c:pt idx="377">
                <c:v>8138</c:v>
              </c:pt>
              <c:pt idx="378">
                <c:v>8160</c:v>
              </c:pt>
              <c:pt idx="379">
                <c:v>8182</c:v>
              </c:pt>
              <c:pt idx="380">
                <c:v>8203</c:v>
              </c:pt>
              <c:pt idx="381">
                <c:v>8225</c:v>
              </c:pt>
              <c:pt idx="382">
                <c:v>8246</c:v>
              </c:pt>
              <c:pt idx="383">
                <c:v>8268</c:v>
              </c:pt>
              <c:pt idx="384">
                <c:v>8290</c:v>
              </c:pt>
              <c:pt idx="385">
                <c:v>8311</c:v>
              </c:pt>
              <c:pt idx="386">
                <c:v>8333</c:v>
              </c:pt>
              <c:pt idx="387">
                <c:v>8354</c:v>
              </c:pt>
              <c:pt idx="388">
                <c:v>8376</c:v>
              </c:pt>
              <c:pt idx="389">
                <c:v>8398</c:v>
              </c:pt>
              <c:pt idx="390">
                <c:v>8419</c:v>
              </c:pt>
              <c:pt idx="391">
                <c:v>8441</c:v>
              </c:pt>
              <c:pt idx="392">
                <c:v>8462</c:v>
              </c:pt>
              <c:pt idx="393">
                <c:v>8484</c:v>
              </c:pt>
              <c:pt idx="394">
                <c:v>8505</c:v>
              </c:pt>
              <c:pt idx="395">
                <c:v>8527</c:v>
              </c:pt>
              <c:pt idx="396">
                <c:v>8549</c:v>
              </c:pt>
              <c:pt idx="397">
                <c:v>8570</c:v>
              </c:pt>
              <c:pt idx="398">
                <c:v>8592</c:v>
              </c:pt>
              <c:pt idx="399">
                <c:v>8613</c:v>
              </c:pt>
              <c:pt idx="400">
                <c:v>8635</c:v>
              </c:pt>
            </c:numLit>
          </c:xVal>
          <c:yVal>
            <c:numLit>
              <c:formatCode>General</c:formatCode>
              <c:ptCount val="401"/>
              <c:pt idx="0">
                <c:v>11718.171999999997</c:v>
              </c:pt>
              <c:pt idx="1">
                <c:v>11511.050999999999</c:v>
              </c:pt>
              <c:pt idx="2">
                <c:v>11402.821000000002</c:v>
              </c:pt>
              <c:pt idx="3">
                <c:v>11245.245999999999</c:v>
              </c:pt>
              <c:pt idx="4">
                <c:v>11178.066999999999</c:v>
              </c:pt>
              <c:pt idx="5">
                <c:v>11125.804000000002</c:v>
              </c:pt>
              <c:pt idx="6">
                <c:v>11088.275999999998</c:v>
              </c:pt>
              <c:pt idx="7">
                <c:v>11049.517000000002</c:v>
              </c:pt>
              <c:pt idx="8">
                <c:v>11015.13</c:v>
              </c:pt>
              <c:pt idx="9">
                <c:v>10981.568000000001</c:v>
              </c:pt>
              <c:pt idx="10">
                <c:v>10957.215999999999</c:v>
              </c:pt>
              <c:pt idx="11">
                <c:v>10927.116000000004</c:v>
              </c:pt>
              <c:pt idx="12">
                <c:v>10899.922</c:v>
              </c:pt>
              <c:pt idx="13">
                <c:v>10872.897999999999</c:v>
              </c:pt>
              <c:pt idx="14">
                <c:v>10849.111999999999</c:v>
              </c:pt>
              <c:pt idx="15">
                <c:v>10824.544999999998</c:v>
              </c:pt>
              <c:pt idx="16">
                <c:v>10807.139000000001</c:v>
              </c:pt>
              <c:pt idx="17">
                <c:v>10786.447000000004</c:v>
              </c:pt>
              <c:pt idx="18">
                <c:v>10769.418</c:v>
              </c:pt>
              <c:pt idx="19">
                <c:v>10755.355</c:v>
              </c:pt>
              <c:pt idx="20">
                <c:v>10743.313999999997</c:v>
              </c:pt>
              <c:pt idx="21">
                <c:v>10730.027</c:v>
              </c:pt>
              <c:pt idx="22">
                <c:v>10714.49</c:v>
              </c:pt>
              <c:pt idx="23">
                <c:v>10703.147000000001</c:v>
              </c:pt>
              <c:pt idx="24">
                <c:v>10682.114000000001</c:v>
              </c:pt>
              <c:pt idx="25">
                <c:v>10662.048000000001</c:v>
              </c:pt>
              <c:pt idx="26">
                <c:v>10653.69</c:v>
              </c:pt>
              <c:pt idx="27">
                <c:v>10643.142000000002</c:v>
              </c:pt>
              <c:pt idx="28">
                <c:v>10631.949000000001</c:v>
              </c:pt>
              <c:pt idx="29">
                <c:v>10619.900000000001</c:v>
              </c:pt>
              <c:pt idx="30">
                <c:v>10606.765000000001</c:v>
              </c:pt>
              <c:pt idx="31">
                <c:v>10588.353000000001</c:v>
              </c:pt>
              <c:pt idx="32">
                <c:v>10578.731</c:v>
              </c:pt>
              <c:pt idx="33">
                <c:v>10568.513000000001</c:v>
              </c:pt>
              <c:pt idx="34">
                <c:v>10552.892</c:v>
              </c:pt>
              <c:pt idx="35">
                <c:v>10537.826999999999</c:v>
              </c:pt>
              <c:pt idx="36">
                <c:v>10517.688999999998</c:v>
              </c:pt>
              <c:pt idx="37">
                <c:v>10500.405000000001</c:v>
              </c:pt>
              <c:pt idx="38">
                <c:v>10488.285</c:v>
              </c:pt>
              <c:pt idx="39">
                <c:v>10470.734000000002</c:v>
              </c:pt>
              <c:pt idx="40">
                <c:v>10454.936999999998</c:v>
              </c:pt>
              <c:pt idx="41">
                <c:v>10442.624999999998</c:v>
              </c:pt>
              <c:pt idx="42">
                <c:v>10426.992</c:v>
              </c:pt>
              <c:pt idx="43">
                <c:v>10413.227999999999</c:v>
              </c:pt>
              <c:pt idx="44">
                <c:v>10398.687999999998</c:v>
              </c:pt>
              <c:pt idx="45">
                <c:v>10388.335000000001</c:v>
              </c:pt>
              <c:pt idx="46">
                <c:v>10370.470999999998</c:v>
              </c:pt>
              <c:pt idx="47">
                <c:v>10359.730999999998</c:v>
              </c:pt>
              <c:pt idx="48">
                <c:v>10346.048999999999</c:v>
              </c:pt>
              <c:pt idx="49">
                <c:v>10333.504999999997</c:v>
              </c:pt>
              <c:pt idx="50">
                <c:v>10322.351999999999</c:v>
              </c:pt>
              <c:pt idx="51">
                <c:v>10307.833000000002</c:v>
              </c:pt>
              <c:pt idx="52">
                <c:v>10297.557000000001</c:v>
              </c:pt>
              <c:pt idx="53">
                <c:v>10286.803</c:v>
              </c:pt>
              <c:pt idx="54">
                <c:v>10273.427000000001</c:v>
              </c:pt>
              <c:pt idx="55">
                <c:v>10258.078</c:v>
              </c:pt>
              <c:pt idx="56">
                <c:v>10247.165999999999</c:v>
              </c:pt>
              <c:pt idx="57">
                <c:v>10234.525</c:v>
              </c:pt>
              <c:pt idx="58">
                <c:v>10226.877999999999</c:v>
              </c:pt>
              <c:pt idx="59">
                <c:v>10218.071999999996</c:v>
              </c:pt>
              <c:pt idx="60">
                <c:v>10210.636</c:v>
              </c:pt>
              <c:pt idx="61">
                <c:v>10201.165999999999</c:v>
              </c:pt>
              <c:pt idx="62">
                <c:v>10192.162</c:v>
              </c:pt>
              <c:pt idx="63">
                <c:v>10182.205000000002</c:v>
              </c:pt>
              <c:pt idx="64">
                <c:v>10170.931000000002</c:v>
              </c:pt>
              <c:pt idx="65">
                <c:v>10161.598</c:v>
              </c:pt>
              <c:pt idx="66">
                <c:v>10150.855999999998</c:v>
              </c:pt>
              <c:pt idx="67">
                <c:v>10141.539000000001</c:v>
              </c:pt>
              <c:pt idx="68">
                <c:v>10131.432000000001</c:v>
              </c:pt>
              <c:pt idx="69">
                <c:v>10123.896999999997</c:v>
              </c:pt>
              <c:pt idx="70">
                <c:v>10113.747000000001</c:v>
              </c:pt>
              <c:pt idx="71">
                <c:v>10101.489999999998</c:v>
              </c:pt>
              <c:pt idx="72">
                <c:v>10091.378999999999</c:v>
              </c:pt>
              <c:pt idx="73">
                <c:v>10082.597</c:v>
              </c:pt>
              <c:pt idx="74">
                <c:v>10072.39</c:v>
              </c:pt>
              <c:pt idx="75">
                <c:v>10064.151</c:v>
              </c:pt>
              <c:pt idx="76">
                <c:v>10057.727000000001</c:v>
              </c:pt>
              <c:pt idx="77">
                <c:v>10047.763999999999</c:v>
              </c:pt>
              <c:pt idx="78">
                <c:v>10038.916999999999</c:v>
              </c:pt>
              <c:pt idx="79">
                <c:v>10027.768999999998</c:v>
              </c:pt>
              <c:pt idx="80">
                <c:v>10014.444</c:v>
              </c:pt>
              <c:pt idx="81">
                <c:v>10005.377</c:v>
              </c:pt>
              <c:pt idx="82">
                <c:v>9995.3619999999992</c:v>
              </c:pt>
              <c:pt idx="83">
                <c:v>9987.0920000000006</c:v>
              </c:pt>
              <c:pt idx="84">
                <c:v>9980.0720000000001</c:v>
              </c:pt>
              <c:pt idx="85">
                <c:v>9968.4230000000007</c:v>
              </c:pt>
              <c:pt idx="86">
                <c:v>9956.6750000000011</c:v>
              </c:pt>
              <c:pt idx="87">
                <c:v>9944.6170000000002</c:v>
              </c:pt>
              <c:pt idx="88">
                <c:v>9933.2649999999994</c:v>
              </c:pt>
              <c:pt idx="89">
                <c:v>9921.92</c:v>
              </c:pt>
              <c:pt idx="90">
                <c:v>9907.57</c:v>
              </c:pt>
              <c:pt idx="91">
                <c:v>9896.7489999999998</c:v>
              </c:pt>
              <c:pt idx="92">
                <c:v>9886.1429999999982</c:v>
              </c:pt>
              <c:pt idx="93">
                <c:v>9864.3900000000031</c:v>
              </c:pt>
              <c:pt idx="94">
                <c:v>9851.5349999999999</c:v>
              </c:pt>
              <c:pt idx="95">
                <c:v>9836.8040000000001</c:v>
              </c:pt>
              <c:pt idx="96">
                <c:v>9821.3889999999992</c:v>
              </c:pt>
              <c:pt idx="97">
                <c:v>9809.5830000000005</c:v>
              </c:pt>
              <c:pt idx="98">
                <c:v>9796.5120000000006</c:v>
              </c:pt>
              <c:pt idx="99">
                <c:v>9784.2819999999992</c:v>
              </c:pt>
              <c:pt idx="100">
                <c:v>9774.4030000000002</c:v>
              </c:pt>
              <c:pt idx="101">
                <c:v>9759.0270000000019</c:v>
              </c:pt>
              <c:pt idx="102">
                <c:v>9748.0770000000011</c:v>
              </c:pt>
              <c:pt idx="103">
                <c:v>9736.5349999999999</c:v>
              </c:pt>
              <c:pt idx="104">
                <c:v>9724.0289999999986</c:v>
              </c:pt>
              <c:pt idx="105">
                <c:v>9708.0959999999995</c:v>
              </c:pt>
              <c:pt idx="106">
                <c:v>9694.6719999999987</c:v>
              </c:pt>
              <c:pt idx="107">
                <c:v>9684.4739999999983</c:v>
              </c:pt>
              <c:pt idx="108">
                <c:v>9672.27</c:v>
              </c:pt>
              <c:pt idx="109">
                <c:v>9660.9379999999983</c:v>
              </c:pt>
              <c:pt idx="110">
                <c:v>9648.2360000000008</c:v>
              </c:pt>
              <c:pt idx="111">
                <c:v>9632.5040000000008</c:v>
              </c:pt>
              <c:pt idx="112">
                <c:v>9621.2889999999989</c:v>
              </c:pt>
              <c:pt idx="113">
                <c:v>9611.3049999999985</c:v>
              </c:pt>
              <c:pt idx="114">
                <c:v>9600.5370000000003</c:v>
              </c:pt>
              <c:pt idx="115">
                <c:v>9591.1029999999992</c:v>
              </c:pt>
              <c:pt idx="116">
                <c:v>9581.014000000001</c:v>
              </c:pt>
              <c:pt idx="117">
                <c:v>9569.1129999999994</c:v>
              </c:pt>
              <c:pt idx="118">
                <c:v>9559.6549999999988</c:v>
              </c:pt>
              <c:pt idx="119">
                <c:v>9549.2419999999984</c:v>
              </c:pt>
              <c:pt idx="120">
                <c:v>9539.9780000000028</c:v>
              </c:pt>
              <c:pt idx="121">
                <c:v>9530.2540000000008</c:v>
              </c:pt>
              <c:pt idx="122">
                <c:v>9520.9500000000007</c:v>
              </c:pt>
              <c:pt idx="123">
                <c:v>9510.2380000000012</c:v>
              </c:pt>
              <c:pt idx="124">
                <c:v>9500.6930000000011</c:v>
              </c:pt>
              <c:pt idx="125">
                <c:v>9490.2909999999993</c:v>
              </c:pt>
              <c:pt idx="126">
                <c:v>9481.4180000000015</c:v>
              </c:pt>
              <c:pt idx="127">
                <c:v>9474.0220000000008</c:v>
              </c:pt>
              <c:pt idx="128">
                <c:v>9463.0930000000008</c:v>
              </c:pt>
              <c:pt idx="129">
                <c:v>9452.7540000000026</c:v>
              </c:pt>
              <c:pt idx="130">
                <c:v>9444.152</c:v>
              </c:pt>
              <c:pt idx="131">
                <c:v>9433.8109999999979</c:v>
              </c:pt>
              <c:pt idx="132">
                <c:v>9422.4060000000009</c:v>
              </c:pt>
              <c:pt idx="133">
                <c:v>9413.7179999999989</c:v>
              </c:pt>
              <c:pt idx="134">
                <c:v>9400.5299999999988</c:v>
              </c:pt>
              <c:pt idx="135">
                <c:v>9393.5019999999986</c:v>
              </c:pt>
              <c:pt idx="136">
                <c:v>9381.268</c:v>
              </c:pt>
              <c:pt idx="137">
                <c:v>9372.1679999999978</c:v>
              </c:pt>
              <c:pt idx="138">
                <c:v>9365.3660000000018</c:v>
              </c:pt>
              <c:pt idx="139">
                <c:v>9358.5380000000005</c:v>
              </c:pt>
              <c:pt idx="140">
                <c:v>9348.9269999999997</c:v>
              </c:pt>
              <c:pt idx="141">
                <c:v>9342.0910000000003</c:v>
              </c:pt>
              <c:pt idx="142">
                <c:v>9333.4209999999985</c:v>
              </c:pt>
              <c:pt idx="143">
                <c:v>9328.7870000000003</c:v>
              </c:pt>
              <c:pt idx="144">
                <c:v>9318.5179999999982</c:v>
              </c:pt>
              <c:pt idx="145">
                <c:v>9309.8229999999967</c:v>
              </c:pt>
              <c:pt idx="146">
                <c:v>9300.3950000000004</c:v>
              </c:pt>
              <c:pt idx="147">
                <c:v>9290.4110000000001</c:v>
              </c:pt>
              <c:pt idx="148">
                <c:v>9281.2180000000008</c:v>
              </c:pt>
              <c:pt idx="149">
                <c:v>9266.6769999999997</c:v>
              </c:pt>
              <c:pt idx="150">
                <c:v>9259.1600000000017</c:v>
              </c:pt>
              <c:pt idx="151">
                <c:v>9250.8349999999991</c:v>
              </c:pt>
              <c:pt idx="152">
                <c:v>9240.9590000000007</c:v>
              </c:pt>
              <c:pt idx="153">
                <c:v>9229.7610000000004</c:v>
              </c:pt>
              <c:pt idx="154">
                <c:v>9217.5849999999991</c:v>
              </c:pt>
              <c:pt idx="155">
                <c:v>9207.7609999999986</c:v>
              </c:pt>
              <c:pt idx="156">
                <c:v>9197.1689999999999</c:v>
              </c:pt>
              <c:pt idx="157">
                <c:v>9189.8050000000003</c:v>
              </c:pt>
              <c:pt idx="158">
                <c:v>9180.4279999999999</c:v>
              </c:pt>
              <c:pt idx="159">
                <c:v>9171.9740000000002</c:v>
              </c:pt>
              <c:pt idx="160">
                <c:v>9160.5629999999983</c:v>
              </c:pt>
              <c:pt idx="161">
                <c:v>9151.7829999999994</c:v>
              </c:pt>
              <c:pt idx="162">
                <c:v>9141.2360000000008</c:v>
              </c:pt>
              <c:pt idx="163">
                <c:v>9130.614999999998</c:v>
              </c:pt>
              <c:pt idx="164">
                <c:v>9123.3529999999992</c:v>
              </c:pt>
              <c:pt idx="165">
                <c:v>9115.492000000002</c:v>
              </c:pt>
              <c:pt idx="166">
                <c:v>9107.1049999999996</c:v>
              </c:pt>
              <c:pt idx="167">
                <c:v>9097.5339999999978</c:v>
              </c:pt>
              <c:pt idx="168">
                <c:v>9086.9210000000003</c:v>
              </c:pt>
              <c:pt idx="169">
                <c:v>9080.2299999999977</c:v>
              </c:pt>
              <c:pt idx="170">
                <c:v>9068.0250000000015</c:v>
              </c:pt>
              <c:pt idx="171">
                <c:v>9057.9520000000011</c:v>
              </c:pt>
              <c:pt idx="172">
                <c:v>9050.5430000000015</c:v>
              </c:pt>
              <c:pt idx="173">
                <c:v>9041.6629999999986</c:v>
              </c:pt>
              <c:pt idx="174">
                <c:v>9033.2510000000002</c:v>
              </c:pt>
              <c:pt idx="175">
                <c:v>9024.2830000000013</c:v>
              </c:pt>
              <c:pt idx="176">
                <c:v>9015.6689999999999</c:v>
              </c:pt>
              <c:pt idx="177">
                <c:v>9006.5669999999991</c:v>
              </c:pt>
              <c:pt idx="178">
                <c:v>8998.3379999999997</c:v>
              </c:pt>
              <c:pt idx="179">
                <c:v>8987.6080000000002</c:v>
              </c:pt>
              <c:pt idx="180">
                <c:v>8979.732</c:v>
              </c:pt>
              <c:pt idx="181">
                <c:v>8970.4140000000007</c:v>
              </c:pt>
              <c:pt idx="182">
                <c:v>8961.5969999999998</c:v>
              </c:pt>
              <c:pt idx="183">
                <c:v>8955.5529999999999</c:v>
              </c:pt>
              <c:pt idx="184">
                <c:v>8943.4480000000003</c:v>
              </c:pt>
              <c:pt idx="185">
                <c:v>8935.8860000000004</c:v>
              </c:pt>
              <c:pt idx="186">
                <c:v>8929.4219999999987</c:v>
              </c:pt>
              <c:pt idx="187">
                <c:v>8919.7630000000026</c:v>
              </c:pt>
              <c:pt idx="188">
                <c:v>8909.5739999999987</c:v>
              </c:pt>
              <c:pt idx="189">
                <c:v>8900.6859999999979</c:v>
              </c:pt>
              <c:pt idx="190">
                <c:v>8891.130000000001</c:v>
              </c:pt>
              <c:pt idx="191">
                <c:v>8882.8300000000017</c:v>
              </c:pt>
              <c:pt idx="192">
                <c:v>8875.44</c:v>
              </c:pt>
              <c:pt idx="193">
                <c:v>8870.66</c:v>
              </c:pt>
              <c:pt idx="194">
                <c:v>8862.9429999999993</c:v>
              </c:pt>
              <c:pt idx="195">
                <c:v>8855.4680000000008</c:v>
              </c:pt>
              <c:pt idx="196">
                <c:v>8841.7570000000014</c:v>
              </c:pt>
              <c:pt idx="197">
                <c:v>8828.884</c:v>
              </c:pt>
              <c:pt idx="198">
                <c:v>8816.4250000000011</c:v>
              </c:pt>
              <c:pt idx="199">
                <c:v>8805.5570000000007</c:v>
              </c:pt>
              <c:pt idx="200">
                <c:v>8796.6679999999997</c:v>
              </c:pt>
              <c:pt idx="201">
                <c:v>8789.5380000000005</c:v>
              </c:pt>
              <c:pt idx="202">
                <c:v>8779.1029999999992</c:v>
              </c:pt>
              <c:pt idx="203">
                <c:v>8769.8979999999974</c:v>
              </c:pt>
              <c:pt idx="204">
                <c:v>8757.384</c:v>
              </c:pt>
              <c:pt idx="205">
                <c:v>8745.8599999999988</c:v>
              </c:pt>
              <c:pt idx="206">
                <c:v>8736.3960000000006</c:v>
              </c:pt>
              <c:pt idx="207">
                <c:v>8725.0520000000015</c:v>
              </c:pt>
              <c:pt idx="208">
                <c:v>8716.0120000000006</c:v>
              </c:pt>
              <c:pt idx="209">
                <c:v>8701.8140000000003</c:v>
              </c:pt>
              <c:pt idx="210">
                <c:v>8692.9069999999992</c:v>
              </c:pt>
              <c:pt idx="211">
                <c:v>8680.7999999999993</c:v>
              </c:pt>
              <c:pt idx="212">
                <c:v>8671.8059999999987</c:v>
              </c:pt>
              <c:pt idx="213">
                <c:v>8663.8609999999971</c:v>
              </c:pt>
              <c:pt idx="214">
                <c:v>8651.3050000000003</c:v>
              </c:pt>
              <c:pt idx="215">
                <c:v>8643.4490000000005</c:v>
              </c:pt>
              <c:pt idx="216">
                <c:v>8632.4000000000015</c:v>
              </c:pt>
              <c:pt idx="217">
                <c:v>8619.1010000000024</c:v>
              </c:pt>
              <c:pt idx="218">
                <c:v>8611.3839999999982</c:v>
              </c:pt>
              <c:pt idx="219">
                <c:v>8602.2649999999958</c:v>
              </c:pt>
              <c:pt idx="220">
                <c:v>8591.2959999999985</c:v>
              </c:pt>
              <c:pt idx="221">
                <c:v>8582.5470000000023</c:v>
              </c:pt>
              <c:pt idx="222">
                <c:v>8572.6750000000029</c:v>
              </c:pt>
              <c:pt idx="223">
                <c:v>8563.5190000000021</c:v>
              </c:pt>
              <c:pt idx="224">
                <c:v>8551.4929999999986</c:v>
              </c:pt>
              <c:pt idx="225">
                <c:v>8545.1739999999972</c:v>
              </c:pt>
              <c:pt idx="226">
                <c:v>8535.33</c:v>
              </c:pt>
              <c:pt idx="227">
                <c:v>8525.7049999999981</c:v>
              </c:pt>
              <c:pt idx="228">
                <c:v>8514.7970000000005</c:v>
              </c:pt>
              <c:pt idx="229">
                <c:v>8505.8269999999993</c:v>
              </c:pt>
              <c:pt idx="230">
                <c:v>8497.8359999999975</c:v>
              </c:pt>
              <c:pt idx="231">
                <c:v>8485.2599999999984</c:v>
              </c:pt>
              <c:pt idx="232">
                <c:v>8476.7010000000009</c:v>
              </c:pt>
              <c:pt idx="233">
                <c:v>8468.8149999999987</c:v>
              </c:pt>
              <c:pt idx="234">
                <c:v>8456.7930000000015</c:v>
              </c:pt>
              <c:pt idx="235">
                <c:v>8450.2319999999982</c:v>
              </c:pt>
              <c:pt idx="236">
                <c:v>8440.9600000000009</c:v>
              </c:pt>
              <c:pt idx="237">
                <c:v>8430.0680000000011</c:v>
              </c:pt>
              <c:pt idx="238">
                <c:v>8420.8200000000015</c:v>
              </c:pt>
              <c:pt idx="239">
                <c:v>8415.7309999999998</c:v>
              </c:pt>
              <c:pt idx="240">
                <c:v>8403.6550000000007</c:v>
              </c:pt>
              <c:pt idx="241">
                <c:v>8393.1730000000007</c:v>
              </c:pt>
              <c:pt idx="242">
                <c:v>8382.7750000000015</c:v>
              </c:pt>
              <c:pt idx="243">
                <c:v>8370.3130000000019</c:v>
              </c:pt>
              <c:pt idx="244">
                <c:v>8359.9470000000019</c:v>
              </c:pt>
              <c:pt idx="245">
                <c:v>8349.5760000000009</c:v>
              </c:pt>
              <c:pt idx="246">
                <c:v>8337.4699999999975</c:v>
              </c:pt>
              <c:pt idx="247">
                <c:v>8328.244999999999</c:v>
              </c:pt>
              <c:pt idx="248">
                <c:v>8314.84</c:v>
              </c:pt>
              <c:pt idx="249">
                <c:v>8307.6049999999996</c:v>
              </c:pt>
              <c:pt idx="250">
                <c:v>8297.1479999999992</c:v>
              </c:pt>
              <c:pt idx="251">
                <c:v>8287.4890000000014</c:v>
              </c:pt>
              <c:pt idx="252">
                <c:v>8275.9639999999999</c:v>
              </c:pt>
              <c:pt idx="253">
                <c:v>8265.1319999999996</c:v>
              </c:pt>
              <c:pt idx="254">
                <c:v>8254.2260000000006</c:v>
              </c:pt>
              <c:pt idx="255">
                <c:v>8244.7540000000008</c:v>
              </c:pt>
              <c:pt idx="256">
                <c:v>8237.381999999996</c:v>
              </c:pt>
              <c:pt idx="257">
                <c:v>8227.5329999999994</c:v>
              </c:pt>
              <c:pt idx="258">
                <c:v>8216.8229999999985</c:v>
              </c:pt>
              <c:pt idx="259">
                <c:v>8207.69</c:v>
              </c:pt>
              <c:pt idx="260">
                <c:v>8197.1869999999999</c:v>
              </c:pt>
              <c:pt idx="261">
                <c:v>8189.6100000000006</c:v>
              </c:pt>
              <c:pt idx="262">
                <c:v>8181.2730000000001</c:v>
              </c:pt>
              <c:pt idx="263">
                <c:v>8167.5259999999962</c:v>
              </c:pt>
              <c:pt idx="264">
                <c:v>8157.8099999999977</c:v>
              </c:pt>
              <c:pt idx="265">
                <c:v>8147.9960000000001</c:v>
              </c:pt>
              <c:pt idx="266">
                <c:v>8133.2279999999992</c:v>
              </c:pt>
              <c:pt idx="267">
                <c:v>8123.262999999999</c:v>
              </c:pt>
              <c:pt idx="268">
                <c:v>8112.4720000000007</c:v>
              </c:pt>
              <c:pt idx="269">
                <c:v>8097.5899999999983</c:v>
              </c:pt>
              <c:pt idx="270">
                <c:v>8087.7790000000005</c:v>
              </c:pt>
              <c:pt idx="271">
                <c:v>8078.869999999999</c:v>
              </c:pt>
              <c:pt idx="272">
                <c:v>8070.6379999999981</c:v>
              </c:pt>
              <c:pt idx="273">
                <c:v>8055.1230000000014</c:v>
              </c:pt>
              <c:pt idx="274">
                <c:v>8043.5739999999996</c:v>
              </c:pt>
              <c:pt idx="275">
                <c:v>8031.8720000000003</c:v>
              </c:pt>
              <c:pt idx="276">
                <c:v>8023.1080000000038</c:v>
              </c:pt>
              <c:pt idx="277">
                <c:v>8007.478000000001</c:v>
              </c:pt>
              <c:pt idx="278">
                <c:v>8000.8530000000001</c:v>
              </c:pt>
              <c:pt idx="279">
                <c:v>7982.8550000000005</c:v>
              </c:pt>
              <c:pt idx="280">
                <c:v>7974.4349999999995</c:v>
              </c:pt>
              <c:pt idx="281">
                <c:v>7963.7540000000008</c:v>
              </c:pt>
              <c:pt idx="282">
                <c:v>7953.1190000000006</c:v>
              </c:pt>
              <c:pt idx="283">
                <c:v>7946.2569999999996</c:v>
              </c:pt>
              <c:pt idx="284">
                <c:v>7936.5639999999985</c:v>
              </c:pt>
              <c:pt idx="285">
                <c:v>7925.619999999999</c:v>
              </c:pt>
              <c:pt idx="286">
                <c:v>7917.7470000000012</c:v>
              </c:pt>
              <c:pt idx="287">
                <c:v>7909.4259999999995</c:v>
              </c:pt>
              <c:pt idx="288">
                <c:v>7898.0930000000017</c:v>
              </c:pt>
              <c:pt idx="289">
                <c:v>7886.3270000000002</c:v>
              </c:pt>
              <c:pt idx="290">
                <c:v>7873.1740000000009</c:v>
              </c:pt>
              <c:pt idx="291">
                <c:v>7865.7030000000013</c:v>
              </c:pt>
              <c:pt idx="292">
                <c:v>7855.3439999999991</c:v>
              </c:pt>
              <c:pt idx="293">
                <c:v>7845.255000000001</c:v>
              </c:pt>
              <c:pt idx="294">
                <c:v>7836.5639999999967</c:v>
              </c:pt>
              <c:pt idx="295">
                <c:v>7826.9330000000009</c:v>
              </c:pt>
              <c:pt idx="296">
                <c:v>7818.739999999998</c:v>
              </c:pt>
              <c:pt idx="297">
                <c:v>7810.4629999999988</c:v>
              </c:pt>
              <c:pt idx="298">
                <c:v>7801.8369999999995</c:v>
              </c:pt>
              <c:pt idx="299">
                <c:v>7792.4130000000014</c:v>
              </c:pt>
              <c:pt idx="300">
                <c:v>7784.7820000000002</c:v>
              </c:pt>
              <c:pt idx="301">
                <c:v>7778.7179999999989</c:v>
              </c:pt>
              <c:pt idx="302">
                <c:v>7769.0780000000004</c:v>
              </c:pt>
              <c:pt idx="303">
                <c:v>7758.1740000000018</c:v>
              </c:pt>
              <c:pt idx="304">
                <c:v>7750.8189999999995</c:v>
              </c:pt>
              <c:pt idx="305">
                <c:v>7740.6509999999989</c:v>
              </c:pt>
              <c:pt idx="306">
                <c:v>7729.1670000000004</c:v>
              </c:pt>
              <c:pt idx="307">
                <c:v>7717.7489999999998</c:v>
              </c:pt>
              <c:pt idx="308">
                <c:v>7707.3279999999986</c:v>
              </c:pt>
              <c:pt idx="309">
                <c:v>7700.6209999999983</c:v>
              </c:pt>
              <c:pt idx="310">
                <c:v>7690.043999999999</c:v>
              </c:pt>
              <c:pt idx="311">
                <c:v>7681.1150000000007</c:v>
              </c:pt>
              <c:pt idx="312">
                <c:v>7673.2709999999997</c:v>
              </c:pt>
              <c:pt idx="313">
                <c:v>7662.7379999999994</c:v>
              </c:pt>
              <c:pt idx="314">
                <c:v>7655.2789999999995</c:v>
              </c:pt>
              <c:pt idx="315">
                <c:v>7646.9289999999983</c:v>
              </c:pt>
              <c:pt idx="316">
                <c:v>7638.0550000000003</c:v>
              </c:pt>
              <c:pt idx="317">
                <c:v>7626.4840000000004</c:v>
              </c:pt>
              <c:pt idx="318">
                <c:v>7617.777000000001</c:v>
              </c:pt>
              <c:pt idx="319">
                <c:v>7609.6519999999982</c:v>
              </c:pt>
              <c:pt idx="320">
                <c:v>7599.7210000000014</c:v>
              </c:pt>
              <c:pt idx="321">
                <c:v>7590.3739999999998</c:v>
              </c:pt>
              <c:pt idx="322">
                <c:v>7582.5730000000003</c:v>
              </c:pt>
              <c:pt idx="323">
                <c:v>7568.7329999999974</c:v>
              </c:pt>
              <c:pt idx="324">
                <c:v>7555.7910000000011</c:v>
              </c:pt>
              <c:pt idx="325">
                <c:v>7543.353000000001</c:v>
              </c:pt>
              <c:pt idx="326">
                <c:v>7534.1150000000007</c:v>
              </c:pt>
              <c:pt idx="327">
                <c:v>7528.1089999999986</c:v>
              </c:pt>
              <c:pt idx="328">
                <c:v>7515.9340000000011</c:v>
              </c:pt>
              <c:pt idx="329">
                <c:v>7508.9380000000001</c:v>
              </c:pt>
              <c:pt idx="330">
                <c:v>7500.4699999999957</c:v>
              </c:pt>
              <c:pt idx="331">
                <c:v>7490.7830000000004</c:v>
              </c:pt>
              <c:pt idx="332">
                <c:v>7482.9829999999984</c:v>
              </c:pt>
              <c:pt idx="333">
                <c:v>7467.6320000000005</c:v>
              </c:pt>
              <c:pt idx="334">
                <c:v>7456.5010000000002</c:v>
              </c:pt>
              <c:pt idx="335">
                <c:v>7439.6730000000007</c:v>
              </c:pt>
              <c:pt idx="336">
                <c:v>7429.2479999999996</c:v>
              </c:pt>
              <c:pt idx="337">
                <c:v>7418.6820000000016</c:v>
              </c:pt>
              <c:pt idx="338">
                <c:v>7405.7100000000009</c:v>
              </c:pt>
              <c:pt idx="339">
                <c:v>7395.56</c:v>
              </c:pt>
              <c:pt idx="340">
                <c:v>7384.8320000000003</c:v>
              </c:pt>
              <c:pt idx="341">
                <c:v>7376.8090000000002</c:v>
              </c:pt>
              <c:pt idx="342">
                <c:v>7364.4599999999991</c:v>
              </c:pt>
              <c:pt idx="343">
                <c:v>7349.4109999999991</c:v>
              </c:pt>
              <c:pt idx="344">
                <c:v>7338.3449999999993</c:v>
              </c:pt>
              <c:pt idx="345">
                <c:v>7331.1409999999987</c:v>
              </c:pt>
              <c:pt idx="346">
                <c:v>7317.5220000000008</c:v>
              </c:pt>
              <c:pt idx="347">
                <c:v>7307.2190000000001</c:v>
              </c:pt>
              <c:pt idx="348">
                <c:v>7297.2609999999995</c:v>
              </c:pt>
              <c:pt idx="349">
                <c:v>7287.5870000000004</c:v>
              </c:pt>
              <c:pt idx="350">
                <c:v>7277.6360000000004</c:v>
              </c:pt>
              <c:pt idx="351">
                <c:v>7269.1059999999998</c:v>
              </c:pt>
              <c:pt idx="352">
                <c:v>7260.0560000000014</c:v>
              </c:pt>
              <c:pt idx="353">
                <c:v>7251.4159999999993</c:v>
              </c:pt>
              <c:pt idx="354">
                <c:v>7243.1289999999981</c:v>
              </c:pt>
              <c:pt idx="355">
                <c:v>7234.8630000000003</c:v>
              </c:pt>
              <c:pt idx="356">
                <c:v>7225.67</c:v>
              </c:pt>
              <c:pt idx="357">
                <c:v>7213.5620000000008</c:v>
              </c:pt>
              <c:pt idx="358">
                <c:v>7205.9860000000008</c:v>
              </c:pt>
              <c:pt idx="359">
                <c:v>7195.6810000000005</c:v>
              </c:pt>
              <c:pt idx="360">
                <c:v>7182.4929999999995</c:v>
              </c:pt>
              <c:pt idx="361">
                <c:v>7173.3609999999999</c:v>
              </c:pt>
              <c:pt idx="362">
                <c:v>7163.3869999999997</c:v>
              </c:pt>
              <c:pt idx="363">
                <c:v>7153.2890000000007</c:v>
              </c:pt>
              <c:pt idx="364">
                <c:v>7133.8850000000002</c:v>
              </c:pt>
              <c:pt idx="365">
                <c:v>7118.0740000000014</c:v>
              </c:pt>
              <c:pt idx="366">
                <c:v>7103.5639999999976</c:v>
              </c:pt>
              <c:pt idx="367">
                <c:v>7089.7049999999999</c:v>
              </c:pt>
              <c:pt idx="368">
                <c:v>7074.857</c:v>
              </c:pt>
              <c:pt idx="369">
                <c:v>7059.8799999999992</c:v>
              </c:pt>
              <c:pt idx="370">
                <c:v>7048.4900000000007</c:v>
              </c:pt>
              <c:pt idx="371">
                <c:v>7037.42</c:v>
              </c:pt>
              <c:pt idx="372">
                <c:v>7020.3720000000003</c:v>
              </c:pt>
              <c:pt idx="373">
                <c:v>7008.4990000000007</c:v>
              </c:pt>
              <c:pt idx="374">
                <c:v>6977.7360000000008</c:v>
              </c:pt>
              <c:pt idx="375">
                <c:v>6958.67</c:v>
              </c:pt>
              <c:pt idx="376">
                <c:v>6936.6199999999981</c:v>
              </c:pt>
              <c:pt idx="377">
                <c:v>6912.0139999999992</c:v>
              </c:pt>
              <c:pt idx="378">
                <c:v>6882.5880000000016</c:v>
              </c:pt>
              <c:pt idx="379">
                <c:v>6847.9209999999994</c:v>
              </c:pt>
              <c:pt idx="380">
                <c:v>6814.1609999999991</c:v>
              </c:pt>
              <c:pt idx="381">
                <c:v>6786.1989999999996</c:v>
              </c:pt>
              <c:pt idx="382">
                <c:v>6767.5049999999992</c:v>
              </c:pt>
              <c:pt idx="383">
                <c:v>6741.1449999999995</c:v>
              </c:pt>
              <c:pt idx="384">
                <c:v>6723.0020000000004</c:v>
              </c:pt>
              <c:pt idx="385">
                <c:v>6701.7709999999988</c:v>
              </c:pt>
              <c:pt idx="386">
                <c:v>6667.24</c:v>
              </c:pt>
              <c:pt idx="387">
                <c:v>6641.0429999999997</c:v>
              </c:pt>
              <c:pt idx="388">
                <c:v>6611.8690000000006</c:v>
              </c:pt>
              <c:pt idx="389">
                <c:v>6567.8789999999999</c:v>
              </c:pt>
              <c:pt idx="390">
                <c:v>6530.0540000000001</c:v>
              </c:pt>
              <c:pt idx="391">
                <c:v>6493.3970000000018</c:v>
              </c:pt>
              <c:pt idx="392">
                <c:v>6458.0390000000007</c:v>
              </c:pt>
              <c:pt idx="393">
                <c:v>6396.5320000000011</c:v>
              </c:pt>
              <c:pt idx="394">
                <c:v>6352.4740000000002</c:v>
              </c:pt>
              <c:pt idx="395">
                <c:v>6273.4529999999995</c:v>
              </c:pt>
              <c:pt idx="396">
                <c:v>6165.5839999999989</c:v>
              </c:pt>
              <c:pt idx="397">
                <c:v>6122.4560000000001</c:v>
              </c:pt>
              <c:pt idx="398">
                <c:v>5913.64</c:v>
              </c:pt>
              <c:pt idx="399">
                <c:v>5814.0290000000005</c:v>
              </c:pt>
              <c:pt idx="400">
                <c:v>5674.6770000000015</c:v>
              </c:pt>
            </c:numLit>
          </c:yVal>
          <c:smooth val="1"/>
          <c:extLst>
            <c:ext xmlns:c16="http://schemas.microsoft.com/office/drawing/2014/chart" uri="{C3380CC4-5D6E-409C-BE32-E72D297353CC}">
              <c16:uniqueId val="{00000000-15D7-494E-B9D4-E8AB8297F9B2}"/>
            </c:ext>
          </c:extLst>
        </c:ser>
        <c:dLbls>
          <c:showLegendKey val="0"/>
          <c:showVal val="0"/>
          <c:showCatName val="0"/>
          <c:showSerName val="0"/>
          <c:showPercent val="0"/>
          <c:showBubbleSize val="0"/>
        </c:dLbls>
        <c:axId val="170822272"/>
        <c:axId val="170844928"/>
      </c:scatterChart>
      <c:valAx>
        <c:axId val="170822272"/>
        <c:scaling>
          <c:orientation val="minMax"/>
          <c:max val="8650"/>
          <c:min val="0"/>
        </c:scaling>
        <c:delete val="0"/>
        <c:axPos val="b"/>
        <c:title>
          <c:tx>
            <c:rich>
              <a:bodyPr/>
              <a:lstStyle/>
              <a:p>
                <a:pPr>
                  <a:defRPr sz="900" b="0"/>
                </a:pPr>
                <a:r>
                  <a:rPr lang="cs-CZ" sz="900" b="0"/>
                  <a:t>Čtvrth</a:t>
                </a:r>
                <a:r>
                  <a:rPr lang="en-US" sz="900" b="0"/>
                  <a:t>od</a:t>
                </a:r>
                <a:r>
                  <a:rPr lang="cs-CZ" sz="900" b="0"/>
                  <a:t>iny</a:t>
                </a:r>
                <a:r>
                  <a:rPr lang="cs-CZ" sz="900" b="0" baseline="0"/>
                  <a:t> časového fondu od začátku roku</a:t>
                </a:r>
                <a:endParaRPr lang="en-US" sz="900" b="0"/>
              </a:p>
            </c:rich>
          </c:tx>
          <c:layout>
            <c:manualLayout>
              <c:xMode val="edge"/>
              <c:yMode val="edge"/>
              <c:x val="9.8657264957264956E-2"/>
              <c:y val="0.82948641320825001"/>
            </c:manualLayout>
          </c:layout>
          <c:overlay val="0"/>
        </c:title>
        <c:numFmt formatCode="#,##0" sourceLinked="0"/>
        <c:majorTickMark val="none"/>
        <c:minorTickMark val="none"/>
        <c:tickLblPos val="nextTo"/>
        <c:txPr>
          <a:bodyPr/>
          <a:lstStyle/>
          <a:p>
            <a:pPr>
              <a:defRPr sz="900"/>
            </a:pPr>
            <a:endParaRPr lang="cs-CZ"/>
          </a:p>
        </c:txPr>
        <c:crossAx val="170844928"/>
        <c:crosses val="autoZero"/>
        <c:crossBetween val="midCat"/>
        <c:majorUnit val="1000"/>
      </c:valAx>
      <c:valAx>
        <c:axId val="170844928"/>
        <c:scaling>
          <c:orientation val="minMax"/>
          <c:max val="14000"/>
        </c:scaling>
        <c:delete val="0"/>
        <c:axPos val="l"/>
        <c:majorGridlines/>
        <c:numFmt formatCode="#,##0" sourceLinked="0"/>
        <c:majorTickMark val="out"/>
        <c:minorTickMark val="none"/>
        <c:tickLblPos val="nextTo"/>
        <c:spPr>
          <a:ln>
            <a:noFill/>
          </a:ln>
        </c:spPr>
        <c:txPr>
          <a:bodyPr/>
          <a:lstStyle/>
          <a:p>
            <a:pPr>
              <a:defRPr sz="900"/>
            </a:pPr>
            <a:endParaRPr lang="cs-CZ"/>
          </a:p>
        </c:txPr>
        <c:crossAx val="170822272"/>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1572</Words>
  <Characters>9277</Characters>
  <Application>Microsoft Office Word</Application>
  <DocSecurity>0</DocSecurity>
  <Lines>77</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Smutný</dc:creator>
  <dc:description/>
  <cp:lastModifiedBy>Petr Matoušek</cp:lastModifiedBy>
  <cp:revision>3</cp:revision>
  <dcterms:created xsi:type="dcterms:W3CDTF">2025-12-06T00:54:00Z</dcterms:created>
  <dcterms:modified xsi:type="dcterms:W3CDTF">2025-12-08T07:29:00Z</dcterms:modified>
</cp:coreProperties>
</file>